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8F6F6" w14:textId="77777777" w:rsidR="000165A9" w:rsidRPr="009A2CEF" w:rsidRDefault="00D6201A">
      <w:pPr>
        <w:spacing w:after="197" w:line="259" w:lineRule="auto"/>
        <w:ind w:left="10" w:right="944"/>
        <w:jc w:val="right"/>
        <w:rPr>
          <w:sz w:val="22"/>
        </w:rPr>
      </w:pPr>
      <w:r w:rsidRPr="009A2CEF">
        <w:rPr>
          <w:b/>
          <w:i/>
          <w:sz w:val="22"/>
        </w:rPr>
        <w:t>Załącznik nr 1a</w:t>
      </w:r>
    </w:p>
    <w:p w14:paraId="2BA85C95" w14:textId="77777777" w:rsidR="009A2CEF" w:rsidRDefault="00D6201A" w:rsidP="009A2CE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A2CEF">
        <w:rPr>
          <w:sz w:val="22"/>
        </w:rPr>
        <w:t xml:space="preserve">Karta przedmiotu </w:t>
      </w:r>
    </w:p>
    <w:p w14:paraId="6436F955" w14:textId="01B8DAA3" w:rsidR="000165A9" w:rsidRPr="009A2CEF" w:rsidRDefault="00D6201A" w:rsidP="009A2CE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A2CE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0165A9" w:rsidRPr="009A2CEF" w14:paraId="4CF57529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081409" w14:textId="77777777" w:rsidR="000165A9" w:rsidRPr="009A2CEF" w:rsidRDefault="00D6201A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Informacje ogólne o przedmiocie </w:t>
            </w:r>
          </w:p>
        </w:tc>
      </w:tr>
      <w:tr w:rsidR="000165A9" w:rsidRPr="009A2CEF" w14:paraId="04FF6841" w14:textId="77777777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8234" w14:textId="222DB482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9A2CEF">
              <w:rPr>
                <w:b/>
                <w:color w:val="auto"/>
                <w:sz w:val="22"/>
              </w:rPr>
              <w:t>1. Kierunek studiów:</w:t>
            </w:r>
            <w:r w:rsidRPr="009A2CEF">
              <w:rPr>
                <w:color w:val="auto"/>
                <w:sz w:val="22"/>
              </w:rPr>
              <w:t xml:space="preserve">  </w:t>
            </w:r>
            <w:proofErr w:type="spellStart"/>
            <w:r w:rsidR="009A2CEF" w:rsidRPr="009A2CEF">
              <w:rPr>
                <w:color w:val="auto"/>
                <w:sz w:val="22"/>
              </w:rPr>
              <w:t>Elektroradiologia</w:t>
            </w:r>
            <w:proofErr w:type="spellEnd"/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FCB4" w14:textId="14AFC1E9" w:rsidR="000165A9" w:rsidRPr="009A2CEF" w:rsidRDefault="00D6201A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color w:val="auto"/>
                <w:sz w:val="22"/>
              </w:rPr>
            </w:pPr>
            <w:r w:rsidRPr="009A2CEF">
              <w:rPr>
                <w:b/>
                <w:color w:val="auto"/>
                <w:sz w:val="22"/>
              </w:rPr>
              <w:t>Poziom kształcenia:</w:t>
            </w:r>
            <w:r w:rsidRPr="009A2CEF">
              <w:rPr>
                <w:color w:val="auto"/>
                <w:sz w:val="22"/>
              </w:rPr>
              <w:t xml:space="preserve">  </w:t>
            </w:r>
            <w:r w:rsidR="009A2CEF" w:rsidRPr="009A2CEF">
              <w:rPr>
                <w:color w:val="auto"/>
                <w:sz w:val="22"/>
              </w:rPr>
              <w:t>II stopień / profil praktyczny</w:t>
            </w:r>
          </w:p>
          <w:p w14:paraId="1CD3D0D6" w14:textId="58AD4924" w:rsidR="000165A9" w:rsidRPr="009A2CEF" w:rsidRDefault="00D6201A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color w:val="auto"/>
                <w:sz w:val="22"/>
              </w:rPr>
            </w:pPr>
            <w:r w:rsidRPr="009A2CEF">
              <w:rPr>
                <w:b/>
                <w:color w:val="auto"/>
                <w:sz w:val="22"/>
              </w:rPr>
              <w:t>Forma studiów:</w:t>
            </w:r>
            <w:r w:rsidRPr="009A2CEF">
              <w:rPr>
                <w:color w:val="auto"/>
                <w:sz w:val="22"/>
              </w:rPr>
              <w:t xml:space="preserve">  </w:t>
            </w:r>
            <w:r w:rsidR="009A2CEF" w:rsidRPr="009A2CEF">
              <w:rPr>
                <w:color w:val="auto"/>
                <w:sz w:val="22"/>
              </w:rPr>
              <w:t xml:space="preserve">studia stacjonarne </w:t>
            </w:r>
          </w:p>
        </w:tc>
      </w:tr>
      <w:tr w:rsidR="000165A9" w:rsidRPr="009A2CEF" w14:paraId="0C9D3933" w14:textId="77777777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362A" w14:textId="4107AF64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9A2CEF">
              <w:rPr>
                <w:b/>
                <w:color w:val="auto"/>
                <w:sz w:val="22"/>
              </w:rPr>
              <w:t>4. Rok:</w:t>
            </w:r>
            <w:r w:rsidRPr="009A2CEF">
              <w:rPr>
                <w:color w:val="auto"/>
                <w:sz w:val="22"/>
              </w:rPr>
              <w:t xml:space="preserve"> </w:t>
            </w:r>
            <w:r w:rsidRPr="009A2CEF">
              <w:rPr>
                <w:b/>
                <w:color w:val="auto"/>
                <w:sz w:val="22"/>
              </w:rPr>
              <w:t xml:space="preserve"> </w:t>
            </w:r>
            <w:r w:rsidR="009A2CEF" w:rsidRPr="009A2CEF">
              <w:rPr>
                <w:color w:val="auto"/>
                <w:sz w:val="22"/>
              </w:rPr>
              <w:t>II/</w:t>
            </w:r>
            <w:r w:rsidRPr="009A2CEF">
              <w:rPr>
                <w:color w:val="auto"/>
                <w:sz w:val="22"/>
              </w:rPr>
              <w:t xml:space="preserve"> </w:t>
            </w:r>
            <w:r w:rsidR="000D02DC" w:rsidRPr="009A2CEF">
              <w:rPr>
                <w:color w:val="auto"/>
                <w:sz w:val="22"/>
              </w:rPr>
              <w:t xml:space="preserve">cykl </w:t>
            </w:r>
            <w:r w:rsidRPr="009A2CEF">
              <w:rPr>
                <w:color w:val="auto"/>
                <w:sz w:val="22"/>
              </w:rPr>
              <w:t>2024-2026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DE12" w14:textId="6076BB98" w:rsidR="000165A9" w:rsidRPr="009A2CEF" w:rsidRDefault="00D6201A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9A2CEF">
              <w:rPr>
                <w:b/>
                <w:color w:val="auto"/>
                <w:sz w:val="22"/>
              </w:rPr>
              <w:t xml:space="preserve">5. Semestr: </w:t>
            </w:r>
            <w:r w:rsidR="009A2CEF" w:rsidRPr="009A2CEF">
              <w:rPr>
                <w:color w:val="auto"/>
                <w:sz w:val="22"/>
              </w:rPr>
              <w:t>IV</w:t>
            </w:r>
          </w:p>
        </w:tc>
      </w:tr>
      <w:tr w:rsidR="000165A9" w:rsidRPr="009A2CEF" w14:paraId="79D95C15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1925" w14:textId="01304EC5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9A2CEF">
              <w:rPr>
                <w:b/>
                <w:color w:val="auto"/>
                <w:sz w:val="22"/>
              </w:rPr>
              <w:t>6. Nazwa przedmiotu</w:t>
            </w:r>
            <w:r w:rsidR="009A2CEF" w:rsidRPr="009A2CEF">
              <w:rPr>
                <w:b/>
                <w:color w:val="auto"/>
                <w:sz w:val="22"/>
              </w:rPr>
              <w:t>:</w:t>
            </w:r>
            <w:r w:rsidR="009A2CEF" w:rsidRPr="009A2CEF">
              <w:rPr>
                <w:color w:val="auto"/>
                <w:sz w:val="22"/>
              </w:rPr>
              <w:t xml:space="preserve">  Promocja  Zdrowia</w:t>
            </w:r>
          </w:p>
        </w:tc>
      </w:tr>
      <w:tr w:rsidR="000165A9" w:rsidRPr="009A2CEF" w14:paraId="1BBC058C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81F3" w14:textId="0A4434D1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9A2CEF">
              <w:rPr>
                <w:b/>
                <w:color w:val="auto"/>
                <w:sz w:val="22"/>
              </w:rPr>
              <w:t>7. Status przedmiotu:</w:t>
            </w:r>
            <w:r w:rsidRPr="009A2CEF">
              <w:rPr>
                <w:color w:val="auto"/>
                <w:sz w:val="22"/>
              </w:rPr>
              <w:t xml:space="preserve">  </w:t>
            </w:r>
            <w:r w:rsidR="009A2CEF" w:rsidRPr="009A2CEF">
              <w:rPr>
                <w:color w:val="auto"/>
                <w:sz w:val="22"/>
              </w:rPr>
              <w:t>Fakultatywny</w:t>
            </w:r>
          </w:p>
        </w:tc>
      </w:tr>
      <w:tr w:rsidR="000165A9" w:rsidRPr="009A2CEF" w14:paraId="49CF3826" w14:textId="77777777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7D2A" w14:textId="303CF811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9A2CEF">
              <w:rPr>
                <w:b/>
                <w:sz w:val="22"/>
              </w:rPr>
              <w:t xml:space="preserve">8. Cel/-e przedmiotu </w:t>
            </w:r>
          </w:p>
          <w:p w14:paraId="47277BAA" w14:textId="38FBAAD9" w:rsidR="000165A9" w:rsidRPr="009A2CEF" w:rsidRDefault="00D6201A" w:rsidP="009A2CEF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13" w:right="0"/>
              <w:rPr>
                <w:b/>
                <w:sz w:val="22"/>
              </w:rPr>
            </w:pPr>
            <w:r w:rsidRPr="009A2CEF">
              <w:rPr>
                <w:sz w:val="22"/>
              </w:rPr>
              <w:t xml:space="preserve">Przekazanie wiedzy i umiejętności z zakresu szeroko rozumianej promocji zdrowia  </w:t>
            </w:r>
            <w:r w:rsidR="00BD68F9" w:rsidRPr="009A2CEF">
              <w:rPr>
                <w:sz w:val="22"/>
              </w:rPr>
              <w:br/>
            </w:r>
            <w:r w:rsidRPr="009A2CEF">
              <w:rPr>
                <w:sz w:val="22"/>
              </w:rPr>
              <w:t xml:space="preserve">i edukacji zdrowotnej. </w:t>
            </w:r>
          </w:p>
          <w:p w14:paraId="50C00691" w14:textId="1DFD4647" w:rsidR="000165A9" w:rsidRPr="009A2CEF" w:rsidRDefault="00D6201A" w:rsidP="009A2CEF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13" w:right="0"/>
              <w:rPr>
                <w:sz w:val="22"/>
              </w:rPr>
            </w:pPr>
            <w:r w:rsidRPr="009A2CEF">
              <w:rPr>
                <w:sz w:val="22"/>
              </w:rPr>
              <w:t>Zaznajomienie studentów z  zagrożeniami zdrowotnymi społeczeństwa polskiego oraz związaną z</w:t>
            </w:r>
            <w:r w:rsidR="009A2CEF">
              <w:rPr>
                <w:sz w:val="22"/>
              </w:rPr>
              <w:t> </w:t>
            </w:r>
            <w:r w:rsidRPr="009A2CEF">
              <w:rPr>
                <w:sz w:val="22"/>
              </w:rPr>
              <w:t>nimi profilaktykę.</w:t>
            </w:r>
          </w:p>
          <w:p w14:paraId="71C8D266" w14:textId="4741219B" w:rsidR="000165A9" w:rsidRPr="009A2CEF" w:rsidRDefault="00D6201A" w:rsidP="009A2CEF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13" w:right="0"/>
              <w:rPr>
                <w:sz w:val="22"/>
              </w:rPr>
            </w:pPr>
            <w:r w:rsidRPr="009A2CEF">
              <w:rPr>
                <w:sz w:val="22"/>
              </w:rPr>
              <w:t xml:space="preserve">Rozpoznanie, analiza zagrożeń zdrowotnych dotyczących jednostki, grupy społecznej  </w:t>
            </w:r>
            <w:r w:rsidR="00BD68F9" w:rsidRPr="009A2CEF">
              <w:rPr>
                <w:sz w:val="22"/>
              </w:rPr>
              <w:br/>
            </w:r>
            <w:r w:rsidRPr="009A2CEF">
              <w:rPr>
                <w:sz w:val="22"/>
              </w:rPr>
              <w:t>i populacji oraz sposoby ich rozwiązywania w aspekcie promocji zdrowia.</w:t>
            </w:r>
          </w:p>
          <w:p w14:paraId="403C7835" w14:textId="400FC803" w:rsidR="000165A9" w:rsidRPr="009A2CEF" w:rsidRDefault="00D6201A" w:rsidP="009A2CEF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13" w:right="0"/>
              <w:rPr>
                <w:sz w:val="22"/>
              </w:rPr>
            </w:pPr>
            <w:r w:rsidRPr="009A2CEF">
              <w:rPr>
                <w:sz w:val="22"/>
              </w:rPr>
              <w:t>Zaznajomienie z populacyjnymi zagrożeniami i metodami zapobiegania im na poziomie modyfikowalnych czynników ryzyka.</w:t>
            </w:r>
          </w:p>
          <w:p w14:paraId="6ADC6B7C" w14:textId="77777777" w:rsidR="000165A9" w:rsidRPr="009A2CEF" w:rsidRDefault="000165A9">
            <w:pPr>
              <w:spacing w:after="15" w:line="259" w:lineRule="auto"/>
              <w:ind w:left="0" w:right="0" w:firstLine="0"/>
              <w:jc w:val="left"/>
              <w:rPr>
                <w:sz w:val="22"/>
              </w:rPr>
            </w:pPr>
          </w:p>
          <w:p w14:paraId="75A49779" w14:textId="77777777" w:rsidR="009A2CEF" w:rsidRPr="009A2CEF" w:rsidRDefault="009A2CEF" w:rsidP="009A2CEF">
            <w:pPr>
              <w:spacing w:after="13" w:line="259" w:lineRule="auto"/>
              <w:ind w:left="28" w:right="0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Efekty uczenia się/odniesienie do efektów uczenia się </w:t>
            </w:r>
            <w:r w:rsidRPr="009A2CEF">
              <w:rPr>
                <w:sz w:val="22"/>
              </w:rPr>
              <w:t xml:space="preserve">zawartych w </w:t>
            </w:r>
            <w:r w:rsidRPr="009A2CEF">
              <w:rPr>
                <w:i/>
                <w:sz w:val="22"/>
              </w:rPr>
              <w:t>(właściwe podkreślić)</w:t>
            </w:r>
            <w:r w:rsidRPr="009A2CEF">
              <w:rPr>
                <w:sz w:val="22"/>
              </w:rPr>
              <w:t xml:space="preserve">: standardach kształcenia </w:t>
            </w:r>
            <w:r w:rsidRPr="009A2CEF">
              <w:rPr>
                <w:sz w:val="22"/>
                <w:u w:val="single"/>
              </w:rPr>
              <w:t>(</w:t>
            </w:r>
            <w:r w:rsidRPr="009A2CEF">
              <w:rPr>
                <w:sz w:val="22"/>
              </w:rPr>
              <w:t>Rozporządzenie Ministra Nauki i Szkolnictwa Wyższego)/</w:t>
            </w:r>
            <w:r w:rsidRPr="009A2CEF">
              <w:rPr>
                <w:sz w:val="22"/>
                <w:u w:val="single"/>
              </w:rPr>
              <w:t>Uchwale Senatu SUM</w:t>
            </w:r>
            <w:r w:rsidRPr="009A2CEF">
              <w:rPr>
                <w:sz w:val="22"/>
              </w:rPr>
              <w:t xml:space="preserve"> </w:t>
            </w:r>
          </w:p>
          <w:p w14:paraId="46540015" w14:textId="77777777" w:rsidR="009A2CEF" w:rsidRPr="009A2CEF" w:rsidRDefault="009A2CEF" w:rsidP="009A2CEF">
            <w:pPr>
              <w:spacing w:after="13" w:line="259" w:lineRule="auto"/>
              <w:ind w:left="28" w:right="0"/>
              <w:rPr>
                <w:i/>
                <w:sz w:val="22"/>
              </w:rPr>
            </w:pPr>
            <w:r w:rsidRPr="009A2CEF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707AEBF7" w14:textId="77777777" w:rsidR="009A2CEF" w:rsidRPr="009A2CEF" w:rsidRDefault="00D6201A">
            <w:pPr>
              <w:spacing w:after="15" w:line="261" w:lineRule="auto"/>
              <w:ind w:left="28" w:right="296" w:firstLine="0"/>
              <w:jc w:val="left"/>
              <w:rPr>
                <w:color w:val="FF0000"/>
                <w:sz w:val="22"/>
              </w:rPr>
            </w:pPr>
            <w:r w:rsidRPr="009A2CEF">
              <w:rPr>
                <w:sz w:val="22"/>
              </w:rPr>
              <w:t>w zakresie wiedzy student zna i rozumie:  K_W07, K_W10,</w:t>
            </w:r>
            <w:r w:rsidRPr="009A2CEF">
              <w:rPr>
                <w:color w:val="FF0000"/>
                <w:sz w:val="22"/>
              </w:rPr>
              <w:t xml:space="preserve"> </w:t>
            </w:r>
          </w:p>
          <w:p w14:paraId="5816C185" w14:textId="45914117" w:rsidR="000165A9" w:rsidRPr="009A2CEF" w:rsidRDefault="00D6201A">
            <w:pPr>
              <w:spacing w:after="15" w:line="261" w:lineRule="auto"/>
              <w:ind w:left="28" w:right="296" w:firstLine="0"/>
              <w:jc w:val="left"/>
              <w:rPr>
                <w:color w:val="auto"/>
                <w:sz w:val="22"/>
              </w:rPr>
            </w:pPr>
            <w:r w:rsidRPr="009A2CEF">
              <w:rPr>
                <w:sz w:val="22"/>
              </w:rPr>
              <w:t>w zakresie umiejętności student potrafi</w:t>
            </w:r>
            <w:r w:rsidRPr="009A2CEF">
              <w:rPr>
                <w:color w:val="auto"/>
                <w:sz w:val="22"/>
              </w:rPr>
              <w:t>: brak</w:t>
            </w:r>
          </w:p>
          <w:p w14:paraId="7C0AEA66" w14:textId="77777777" w:rsidR="000165A9" w:rsidRPr="009A2CEF" w:rsidRDefault="00D6201A">
            <w:pPr>
              <w:spacing w:after="15" w:line="261" w:lineRule="auto"/>
              <w:ind w:left="28" w:right="296" w:firstLine="0"/>
              <w:jc w:val="left"/>
              <w:rPr>
                <w:sz w:val="22"/>
              </w:rPr>
            </w:pPr>
            <w:r w:rsidRPr="009A2CEF">
              <w:rPr>
                <w:sz w:val="22"/>
              </w:rPr>
              <w:t>w zakresie kompetencji społecznych student : K_K03, K_K08, K_K09, K_K10, K_K11</w:t>
            </w:r>
          </w:p>
        </w:tc>
      </w:tr>
      <w:tr w:rsidR="000165A9" w:rsidRPr="009A2CEF" w14:paraId="388B53D6" w14:textId="7777777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F5A1" w14:textId="77777777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C40E393" w14:textId="77777777" w:rsidR="000165A9" w:rsidRPr="009A2CEF" w:rsidRDefault="00D6201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 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6030" w14:textId="77777777" w:rsidR="000165A9" w:rsidRPr="009A2CEF" w:rsidRDefault="00D6201A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8E1C68F" w14:textId="77777777" w:rsidR="000165A9" w:rsidRPr="009A2CEF" w:rsidRDefault="00D6201A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9A2CEF">
              <w:rPr>
                <w:sz w:val="22"/>
              </w:rPr>
              <w:t>3</w:t>
            </w:r>
          </w:p>
        </w:tc>
      </w:tr>
      <w:tr w:rsidR="000165A9" w:rsidRPr="009A2CEF" w14:paraId="51D9C8A1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0432" w14:textId="4AFADD29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11. Forma zaliczenia przedmiotu: </w:t>
            </w:r>
            <w:r w:rsidRPr="009A2CEF">
              <w:rPr>
                <w:sz w:val="22"/>
              </w:rPr>
              <w:t xml:space="preserve"> </w:t>
            </w:r>
            <w:r w:rsidR="009A2CEF" w:rsidRPr="009A2CEF">
              <w:rPr>
                <w:sz w:val="22"/>
              </w:rPr>
              <w:t>z</w:t>
            </w:r>
            <w:r w:rsidRPr="009A2CEF">
              <w:rPr>
                <w:sz w:val="22"/>
              </w:rPr>
              <w:t>aliczenie na ocenę</w:t>
            </w:r>
          </w:p>
        </w:tc>
      </w:tr>
      <w:tr w:rsidR="000165A9" w:rsidRPr="009A2CEF" w14:paraId="3CD0D994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F2B9DB" w14:textId="77777777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0165A9" w:rsidRPr="009A2CEF" w14:paraId="45B7FD65" w14:textId="7777777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E67F" w14:textId="77777777" w:rsidR="000165A9" w:rsidRPr="009A2CEF" w:rsidRDefault="00D6201A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A2CEF">
              <w:rPr>
                <w:sz w:val="22"/>
              </w:rPr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66EA" w14:textId="77777777" w:rsidR="000165A9" w:rsidRPr="009A2CEF" w:rsidRDefault="00D6201A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A2CEF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CB24" w14:textId="77777777" w:rsidR="000165A9" w:rsidRPr="009A2CEF" w:rsidRDefault="00D6201A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A2CEF">
              <w:rPr>
                <w:sz w:val="22"/>
              </w:rPr>
              <w:t xml:space="preserve">Sposoby oceny*/zaliczenie </w:t>
            </w:r>
          </w:p>
        </w:tc>
      </w:tr>
      <w:tr w:rsidR="000165A9" w:rsidRPr="009A2CEF" w14:paraId="3FFB0D80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E9F4" w14:textId="4F4E1B6E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sz w:val="22"/>
              </w:rPr>
              <w:t>W zakresie wiedzy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9434" w14:textId="77777777" w:rsidR="000165A9" w:rsidRPr="009A2CEF" w:rsidRDefault="00D6201A" w:rsidP="00BD68F9">
            <w:pPr>
              <w:spacing w:after="0" w:line="259" w:lineRule="auto"/>
              <w:ind w:right="0"/>
              <w:jc w:val="left"/>
              <w:rPr>
                <w:color w:val="auto"/>
                <w:sz w:val="22"/>
              </w:rPr>
            </w:pPr>
            <w:r w:rsidRPr="009A2CEF">
              <w:rPr>
                <w:color w:val="auto"/>
                <w:sz w:val="22"/>
              </w:rPr>
              <w:t xml:space="preserve">Zaliczenie na ocenę – test wyboru 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7339" w14:textId="77777777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 </w:t>
            </w:r>
          </w:p>
        </w:tc>
      </w:tr>
      <w:tr w:rsidR="000165A9" w:rsidRPr="009A2CEF" w14:paraId="6076D51A" w14:textId="7777777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BF65" w14:textId="77777777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sz w:val="22"/>
              </w:rPr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3BA3" w14:textId="77777777" w:rsidR="000165A9" w:rsidRPr="009A2CEF" w:rsidRDefault="000165A9"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D407" w14:textId="77777777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 </w:t>
            </w:r>
          </w:p>
        </w:tc>
      </w:tr>
      <w:tr w:rsidR="000165A9" w:rsidRPr="009A2CEF" w14:paraId="0C8829EA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2800" w14:textId="77777777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sz w:val="22"/>
              </w:rPr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74DF" w14:textId="77777777" w:rsidR="000165A9" w:rsidRPr="009A2CEF" w:rsidRDefault="00D6201A"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2"/>
              </w:rPr>
            </w:pPr>
            <w:r w:rsidRPr="009A2CEF">
              <w:rPr>
                <w:color w:val="auto"/>
                <w:sz w:val="22"/>
              </w:rP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65EE" w14:textId="77777777" w:rsidR="000165A9" w:rsidRPr="009A2CEF" w:rsidRDefault="00D6201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A2CEF">
              <w:rPr>
                <w:b/>
                <w:sz w:val="22"/>
              </w:rPr>
              <w:t xml:space="preserve"> </w:t>
            </w:r>
          </w:p>
        </w:tc>
      </w:tr>
    </w:tbl>
    <w:p w14:paraId="6E768C08" w14:textId="77777777" w:rsidR="009A2CEF" w:rsidRPr="009A2CEF" w:rsidRDefault="009A2CEF">
      <w:pPr>
        <w:spacing w:after="0" w:line="259" w:lineRule="auto"/>
        <w:ind w:left="341" w:right="0" w:firstLine="0"/>
        <w:jc w:val="left"/>
        <w:rPr>
          <w:sz w:val="22"/>
        </w:rPr>
      </w:pPr>
    </w:p>
    <w:p w14:paraId="7F488BA8" w14:textId="77777777" w:rsidR="009A2CEF" w:rsidRPr="009A2CEF" w:rsidRDefault="009A2CEF" w:rsidP="009A2CE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9A2CEF">
        <w:rPr>
          <w:rFonts w:eastAsiaTheme="minorHAnsi"/>
          <w:b/>
          <w:bCs/>
          <w:sz w:val="22"/>
          <w:lang w:eastAsia="en-US"/>
        </w:rPr>
        <w:t xml:space="preserve">* </w:t>
      </w:r>
      <w:r w:rsidRPr="009A2CEF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1D22A09F" w14:textId="77777777" w:rsidR="009A2CEF" w:rsidRPr="009A2CEF" w:rsidRDefault="009A2CEF" w:rsidP="009A2CE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5478BF83" w14:textId="77777777" w:rsidR="009A2CEF" w:rsidRPr="009A2CEF" w:rsidRDefault="009A2CEF" w:rsidP="009A2CE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9A2CEF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9A2CEF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3757F6EE" w14:textId="77777777" w:rsidR="009A2CEF" w:rsidRPr="009A2CEF" w:rsidRDefault="009A2CEF" w:rsidP="009A2CE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9A2CEF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9A2CEF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44A8E958" w14:textId="77777777" w:rsidR="009A2CEF" w:rsidRPr="009A2CEF" w:rsidRDefault="009A2CEF" w:rsidP="009A2CE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9A2CEF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9A2CEF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1F0CA97D" w14:textId="77777777" w:rsidR="009A2CEF" w:rsidRPr="009A2CEF" w:rsidRDefault="009A2CEF" w:rsidP="009A2CE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9A2CEF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9A2CEF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43CEF60E" w14:textId="77777777" w:rsidR="009A2CEF" w:rsidRPr="009A2CEF" w:rsidRDefault="009A2CEF" w:rsidP="009A2CE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9A2CEF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9A2CEF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75C24229" w14:textId="77777777" w:rsidR="009A2CEF" w:rsidRPr="009A2CEF" w:rsidRDefault="009A2CEF" w:rsidP="009A2CEF">
      <w:pPr>
        <w:spacing w:after="306" w:line="259" w:lineRule="auto"/>
        <w:ind w:left="426" w:right="0" w:firstLine="0"/>
        <w:jc w:val="left"/>
        <w:rPr>
          <w:sz w:val="22"/>
        </w:rPr>
      </w:pPr>
      <w:r w:rsidRPr="009A2CEF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9A2CEF">
        <w:rPr>
          <w:rFonts w:eastAsiaTheme="minorHAnsi"/>
          <w:sz w:val="22"/>
          <w:lang w:eastAsia="en-US"/>
        </w:rPr>
        <w:t>– zakładane efekty uczenia się nie zostały uzyskane.</w:t>
      </w:r>
    </w:p>
    <w:p w14:paraId="2049D095" w14:textId="2BF94BE6" w:rsidR="000165A9" w:rsidRDefault="00D6201A">
      <w:pPr>
        <w:spacing w:after="0" w:line="259" w:lineRule="auto"/>
        <w:ind w:left="341" w:right="0" w:firstLine="0"/>
        <w:jc w:val="left"/>
        <w:rPr>
          <w:sz w:val="22"/>
        </w:rPr>
      </w:pPr>
      <w:r w:rsidRPr="009A2CEF">
        <w:rPr>
          <w:sz w:val="22"/>
        </w:rPr>
        <w:t xml:space="preserve"> </w:t>
      </w:r>
    </w:p>
    <w:p w14:paraId="15E175DF" w14:textId="0573B226" w:rsidR="00A93C29" w:rsidRDefault="00A93C29">
      <w:pPr>
        <w:spacing w:after="0" w:line="259" w:lineRule="auto"/>
        <w:ind w:left="341" w:right="0" w:firstLine="0"/>
        <w:jc w:val="left"/>
        <w:rPr>
          <w:sz w:val="22"/>
        </w:rPr>
      </w:pPr>
    </w:p>
    <w:p w14:paraId="42860FE1" w14:textId="2C1C0DCC" w:rsidR="00A93C29" w:rsidRDefault="00A93C29">
      <w:pPr>
        <w:spacing w:after="0" w:line="259" w:lineRule="auto"/>
        <w:ind w:left="341" w:right="0" w:firstLine="0"/>
        <w:jc w:val="left"/>
        <w:rPr>
          <w:sz w:val="22"/>
        </w:rPr>
      </w:pPr>
    </w:p>
    <w:p w14:paraId="4B4A0388" w14:textId="717649A0" w:rsidR="00A93C29" w:rsidRDefault="00A93C29">
      <w:pPr>
        <w:spacing w:after="0" w:line="259" w:lineRule="auto"/>
        <w:ind w:left="341" w:right="0" w:firstLine="0"/>
        <w:jc w:val="left"/>
        <w:rPr>
          <w:sz w:val="22"/>
        </w:rPr>
      </w:pPr>
    </w:p>
    <w:p w14:paraId="54D311FD" w14:textId="77777777" w:rsidR="00A93C29" w:rsidRDefault="00A93C29" w:rsidP="00A93C29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lastRenderedPageBreak/>
        <w:t xml:space="preserve">Karta przedmiotu </w:t>
      </w:r>
    </w:p>
    <w:p w14:paraId="4065E762" w14:textId="77777777" w:rsidR="00A93C29" w:rsidRDefault="00A93C29" w:rsidP="00A93C29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3260"/>
        <w:gridCol w:w="1312"/>
        <w:gridCol w:w="1381"/>
      </w:tblGrid>
      <w:tr w:rsidR="00A93C29" w:rsidRPr="00A93C29" w14:paraId="2F7A9F4B" w14:textId="77777777" w:rsidTr="00A93C2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6A7797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A93C29" w:rsidRPr="00A93C29" w14:paraId="10F39DA4" w14:textId="77777777" w:rsidTr="00A93C29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602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>13. Jednostka realizująca przedmiot,</w:t>
            </w:r>
            <w:r w:rsidRPr="00A93C29">
              <w:rPr>
                <w:color w:val="auto"/>
                <w:sz w:val="22"/>
              </w:rPr>
              <w:t xml:space="preserve"> </w:t>
            </w:r>
            <w:r w:rsidRPr="00A93C29">
              <w:rPr>
                <w:b/>
                <w:color w:val="auto"/>
                <w:sz w:val="22"/>
              </w:rPr>
              <w:t xml:space="preserve">adres, e-mail: </w:t>
            </w:r>
          </w:p>
          <w:p w14:paraId="72E1F252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>Zakład Gerontologii i Pielęgniarstwa Geriatrycznego, Katedra Pielęgniarstwa</w:t>
            </w:r>
          </w:p>
          <w:p w14:paraId="611A2B73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>ul. Ziołowa 45, 40-635 Katowice</w:t>
            </w:r>
          </w:p>
          <w:p w14:paraId="4401B7C3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 xml:space="preserve">tel. 32 359 81 91; </w:t>
            </w:r>
            <w:r w:rsidRPr="00A93C29">
              <w:rPr>
                <w:color w:val="auto"/>
                <w:sz w:val="22"/>
              </w:rPr>
              <w:t>e-mail: katedrapielegniarstwa@sum.edu.pl</w:t>
            </w:r>
          </w:p>
        </w:tc>
      </w:tr>
      <w:tr w:rsidR="00A93C29" w:rsidRPr="00A93C29" w14:paraId="1E87AB57" w14:textId="77777777" w:rsidTr="00A93C29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6255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 xml:space="preserve">14. Imię i nazwisko osoby odpowiedzialnej za realizację przedmiotu /koordynatora przedmiotu: </w:t>
            </w:r>
          </w:p>
          <w:p w14:paraId="50105B34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 xml:space="preserve">dr hab. n. o </w:t>
            </w:r>
            <w:proofErr w:type="spellStart"/>
            <w:r w:rsidRPr="00A93C29">
              <w:rPr>
                <w:color w:val="auto"/>
                <w:sz w:val="22"/>
              </w:rPr>
              <w:t>zdr</w:t>
            </w:r>
            <w:proofErr w:type="spellEnd"/>
            <w:r w:rsidRPr="00A93C29">
              <w:rPr>
                <w:color w:val="auto"/>
                <w:sz w:val="22"/>
              </w:rPr>
              <w:t>. Agnieszka Młynarska, Prof. SUM</w:t>
            </w:r>
          </w:p>
        </w:tc>
      </w:tr>
      <w:tr w:rsidR="00A93C29" w:rsidRPr="00A93C29" w14:paraId="7EC865F1" w14:textId="77777777" w:rsidTr="00A93C29">
        <w:trPr>
          <w:trHeight w:val="33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ED17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 xml:space="preserve">15. Wymagania wstępne w zakresie wiedzy, umiejętności i innych kompetencji: </w:t>
            </w:r>
          </w:p>
        </w:tc>
      </w:tr>
      <w:tr w:rsidR="00A93C29" w:rsidRPr="00A93C29" w14:paraId="4057679B" w14:textId="77777777" w:rsidTr="00A93C29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BF8A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0E0A" w14:textId="77777777" w:rsidR="00A93C29" w:rsidRPr="00A93C29" w:rsidRDefault="00A93C29" w:rsidP="006558A3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 xml:space="preserve">Zgodna z Zarządzeniem Rektora SUM </w:t>
            </w:r>
          </w:p>
        </w:tc>
      </w:tr>
      <w:tr w:rsidR="00A93C29" w:rsidRPr="00A93C29" w14:paraId="19670BAD" w14:textId="77777777" w:rsidTr="00A93C29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7435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F95C" w14:textId="400AD1F9" w:rsidR="00A93C29" w:rsidRPr="00A93C29" w:rsidRDefault="00A93C29" w:rsidP="006558A3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Dostępne w miejscu realizacji zajęć</w:t>
            </w:r>
          </w:p>
        </w:tc>
      </w:tr>
      <w:tr w:rsidR="00A93C29" w:rsidRPr="00A93C29" w14:paraId="59496AD8" w14:textId="77777777" w:rsidTr="00A93C29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A9BE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92D8" w14:textId="77777777" w:rsidR="00A93C29" w:rsidRPr="00A93C29" w:rsidRDefault="00A93C29" w:rsidP="006558A3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Zakład Gerontologii i Pielęgniarstwa Geriatrycznego,                             ul. Ziołowa 45, 40-635 Katowice</w:t>
            </w:r>
          </w:p>
        </w:tc>
      </w:tr>
      <w:tr w:rsidR="00A93C29" w:rsidRPr="00A93C29" w14:paraId="5A1E1C90" w14:textId="77777777" w:rsidTr="00A93C29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BC67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B6C1" w14:textId="77777777" w:rsidR="00A93C29" w:rsidRPr="00A93C29" w:rsidRDefault="00A93C29" w:rsidP="006558A3">
            <w:pPr>
              <w:ind w:left="0"/>
              <w:jc w:val="left"/>
              <w:rPr>
                <w:color w:val="auto"/>
                <w:sz w:val="22"/>
              </w:rPr>
            </w:pPr>
            <w:r w:rsidRPr="00A93C29">
              <w:rPr>
                <w:sz w:val="22"/>
              </w:rPr>
              <w:t>Harmonogram</w:t>
            </w:r>
            <w:r w:rsidRPr="00A93C29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  <w:p w14:paraId="23CBBCFE" w14:textId="77777777" w:rsidR="00A93C29" w:rsidRPr="00A93C29" w:rsidRDefault="00A93C29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Miejsce: GCM w Katowicach Ochojcu,  pokój 118.</w:t>
            </w:r>
          </w:p>
        </w:tc>
      </w:tr>
      <w:tr w:rsidR="00A93C29" w:rsidRPr="00A93C29" w14:paraId="725865ED" w14:textId="77777777" w:rsidTr="00A93C29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3A944E" w14:textId="29CEC6AA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93C29">
              <w:rPr>
                <w:b/>
                <w:sz w:val="22"/>
              </w:rPr>
              <w:t xml:space="preserve">20. Efekty uczenia się </w:t>
            </w:r>
          </w:p>
        </w:tc>
      </w:tr>
      <w:tr w:rsidR="00A93C29" w:rsidRPr="00A93C29" w14:paraId="2697D805" w14:textId="77777777" w:rsidTr="00A93C29">
        <w:trPr>
          <w:trHeight w:val="15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B1D06" w14:textId="77777777" w:rsidR="00A93C29" w:rsidRPr="00A93C29" w:rsidRDefault="00A93C29" w:rsidP="006558A3">
            <w:pPr>
              <w:spacing w:after="0" w:line="256" w:lineRule="auto"/>
              <w:ind w:left="0" w:right="0" w:firstLine="0"/>
              <w:jc w:val="center"/>
              <w:rPr>
                <w:sz w:val="22"/>
              </w:rPr>
            </w:pPr>
            <w:r w:rsidRPr="00A93C29">
              <w:rPr>
                <w:sz w:val="22"/>
              </w:rPr>
              <w:t xml:space="preserve">Numer przedmiotowego </w:t>
            </w:r>
          </w:p>
          <w:p w14:paraId="10A546A0" w14:textId="77777777" w:rsidR="00A93C29" w:rsidRPr="00A93C29" w:rsidRDefault="00A93C29" w:rsidP="006558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93C29">
              <w:rPr>
                <w:sz w:val="22"/>
              </w:rPr>
              <w:t xml:space="preserve">efektu uczenia </w:t>
            </w:r>
          </w:p>
          <w:p w14:paraId="2F931AA1" w14:textId="77777777" w:rsidR="00A93C29" w:rsidRPr="00A93C29" w:rsidRDefault="00A93C29" w:rsidP="006558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93C29">
              <w:rPr>
                <w:sz w:val="22"/>
              </w:rPr>
              <w:t xml:space="preserve">się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1564D" w14:textId="77777777" w:rsidR="00A93C29" w:rsidRPr="00A93C29" w:rsidRDefault="00A93C29" w:rsidP="006558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93C29">
              <w:rPr>
                <w:sz w:val="22"/>
              </w:rPr>
              <w:t xml:space="preserve">Przedmiotowe efekty uczenia się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8A35" w14:textId="77777777" w:rsidR="00A93C29" w:rsidRPr="00A93C29" w:rsidRDefault="00A93C29" w:rsidP="006558A3">
            <w:pPr>
              <w:spacing w:after="11" w:line="264" w:lineRule="auto"/>
              <w:ind w:left="0" w:right="0" w:firstLine="0"/>
              <w:jc w:val="center"/>
              <w:rPr>
                <w:sz w:val="22"/>
              </w:rPr>
            </w:pPr>
            <w:r w:rsidRPr="00A93C29">
              <w:rPr>
                <w:sz w:val="22"/>
              </w:rPr>
              <w:t xml:space="preserve">Odniesienie do efektów uczenia się zawartych w </w:t>
            </w:r>
            <w:r w:rsidRPr="00A93C29">
              <w:rPr>
                <w:i/>
                <w:sz w:val="22"/>
              </w:rPr>
              <w:t>(właściwe podkreślić)</w:t>
            </w:r>
            <w:r w:rsidRPr="00A93C29">
              <w:rPr>
                <w:sz w:val="22"/>
              </w:rPr>
              <w:t xml:space="preserve">: </w:t>
            </w:r>
          </w:p>
          <w:p w14:paraId="7EAB02F8" w14:textId="77777777" w:rsidR="00A93C29" w:rsidRPr="00A93C29" w:rsidRDefault="00A93C29" w:rsidP="006558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 xml:space="preserve">standardach kształcenia/ </w:t>
            </w:r>
          </w:p>
          <w:p w14:paraId="019DDDA2" w14:textId="77777777" w:rsidR="00A93C29" w:rsidRPr="00A93C29" w:rsidRDefault="00A93C29" w:rsidP="006558A3">
            <w:pPr>
              <w:spacing w:after="0" w:line="259" w:lineRule="auto"/>
              <w:ind w:left="0" w:right="13" w:firstLine="0"/>
              <w:jc w:val="center"/>
              <w:rPr>
                <w:b/>
                <w:sz w:val="22"/>
                <w:u w:val="single"/>
              </w:rPr>
            </w:pPr>
            <w:r w:rsidRPr="00A93C29">
              <w:rPr>
                <w:b/>
                <w:sz w:val="22"/>
                <w:u w:val="single"/>
              </w:rPr>
              <w:t xml:space="preserve">zatwierdzonych przez </w:t>
            </w:r>
          </w:p>
          <w:p w14:paraId="204C34F1" w14:textId="77777777" w:rsidR="00A93C29" w:rsidRPr="00A93C29" w:rsidRDefault="00A93C29" w:rsidP="006558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A93C29">
              <w:rPr>
                <w:b/>
                <w:sz w:val="22"/>
                <w:u w:val="single"/>
              </w:rPr>
              <w:t>Senat SUM</w:t>
            </w:r>
            <w:r w:rsidRPr="00A93C29">
              <w:rPr>
                <w:sz w:val="22"/>
              </w:rPr>
              <w:t xml:space="preserve">  </w:t>
            </w:r>
          </w:p>
        </w:tc>
      </w:tr>
      <w:tr w:rsidR="00A93C29" w:rsidRPr="00A93C29" w14:paraId="5E7EF7E6" w14:textId="77777777" w:rsidTr="00A93C29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0E53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P_W01</w:t>
            </w:r>
            <w:r w:rsidRPr="00A93C29">
              <w:rPr>
                <w:b/>
                <w:sz w:val="22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4176" w14:textId="77777777" w:rsidR="00A93C29" w:rsidRPr="00A93C29" w:rsidRDefault="00A93C29" w:rsidP="00A93C29">
            <w:pPr>
              <w:spacing w:after="0" w:line="240" w:lineRule="auto"/>
              <w:ind w:left="1" w:right="0" w:firstLine="0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Zna uwarunkowania i mechanizmy zaburzeń komunikacji interpersonalnej w relacji z pacjentem i jego rodziną oraz członkami zespołu diagnostyczno-terapeutycznego. Rozumie i poddaje analizie procesy psychospołeczne warunkujące komunikację interpersonalną.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FE2DC" w14:textId="7A664832" w:rsidR="00A93C29" w:rsidRPr="00A93C29" w:rsidRDefault="00A93C29" w:rsidP="00A93C29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K_W07</w:t>
            </w:r>
          </w:p>
        </w:tc>
      </w:tr>
      <w:tr w:rsidR="00A93C29" w:rsidRPr="00A93C29" w14:paraId="2A7687AD" w14:textId="77777777" w:rsidTr="00A93C29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1490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P_W02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A244" w14:textId="77777777" w:rsidR="00A93C29" w:rsidRPr="00A93C29" w:rsidRDefault="00A93C29" w:rsidP="00A93C29">
            <w:pPr>
              <w:spacing w:after="0" w:line="240" w:lineRule="auto"/>
              <w:ind w:left="1" w:right="0" w:firstLine="0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Ma pogłębioną wiedzę w zakresie epidemiologii, profilaktyki, promocji zdrowia i edukacji zdrowotnej. Posiada wiedzę na temat uwarunkowań społecznych i cywilizacyjnych chorób.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EF41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K_W10</w:t>
            </w:r>
          </w:p>
        </w:tc>
      </w:tr>
      <w:tr w:rsidR="00A93C29" w:rsidRPr="00A93C29" w14:paraId="715DFD4E" w14:textId="77777777" w:rsidTr="00A93C29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C361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P_K01</w:t>
            </w:r>
            <w:r w:rsidRPr="00A93C29">
              <w:rPr>
                <w:b/>
                <w:sz w:val="22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174F" w14:textId="77777777" w:rsidR="00A93C29" w:rsidRPr="00A93C29" w:rsidRDefault="00A93C29" w:rsidP="00A93C29">
            <w:pPr>
              <w:pStyle w:val="Bezodstpw"/>
              <w:jc w:val="both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Wykazuje dbałość o właściwy wizerunek wykonywanego zawodu w środowisku medycznym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1EF1" w14:textId="77777777" w:rsidR="00A93C29" w:rsidRPr="00A93C29" w:rsidRDefault="00A93C29" w:rsidP="006558A3">
            <w:pPr>
              <w:pStyle w:val="Bezodstpw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K_K03</w:t>
            </w:r>
          </w:p>
        </w:tc>
      </w:tr>
      <w:tr w:rsidR="00A93C29" w:rsidRPr="00A93C29" w14:paraId="382FAC88" w14:textId="77777777" w:rsidTr="00A93C29">
        <w:trPr>
          <w:trHeight w:val="26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9FE8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P_K02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69D0" w14:textId="77777777" w:rsidR="00A93C29" w:rsidRPr="00A93C29" w:rsidRDefault="00A93C29" w:rsidP="00A93C29">
            <w:pPr>
              <w:pStyle w:val="Bezodstpw"/>
              <w:jc w:val="both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Określa priorytety w realizacji celów zawodowych, jak i realizacji zadań zawodowych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224EF" w14:textId="77777777" w:rsidR="00A93C29" w:rsidRPr="00A93C29" w:rsidRDefault="00A93C29" w:rsidP="006558A3">
            <w:pPr>
              <w:pStyle w:val="Bezodstpw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K_K08</w:t>
            </w:r>
          </w:p>
        </w:tc>
      </w:tr>
      <w:tr w:rsidR="00A93C29" w:rsidRPr="00A93C29" w14:paraId="0B39C632" w14:textId="77777777" w:rsidTr="00A93C29">
        <w:trPr>
          <w:trHeight w:val="26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B0BB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P_K03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A8D0" w14:textId="77777777" w:rsidR="00A93C29" w:rsidRPr="00A93C29" w:rsidRDefault="00A93C29" w:rsidP="00A93C29">
            <w:pPr>
              <w:pStyle w:val="Bezodstpw"/>
              <w:jc w:val="both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Demonstruje postawę promującą zdrowie i aktywność fizyczną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F3DA" w14:textId="77777777" w:rsidR="00A93C29" w:rsidRPr="00A93C29" w:rsidRDefault="00A93C29" w:rsidP="006558A3">
            <w:pPr>
              <w:pStyle w:val="Bezodstpw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K_K10</w:t>
            </w:r>
          </w:p>
        </w:tc>
      </w:tr>
      <w:tr w:rsidR="00A93C29" w:rsidRPr="00A93C29" w14:paraId="6439E243" w14:textId="77777777" w:rsidTr="00A93C29">
        <w:trPr>
          <w:trHeight w:val="263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1107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P_K04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2179" w14:textId="77777777" w:rsidR="00A93C29" w:rsidRPr="00A93C29" w:rsidRDefault="00A93C29" w:rsidP="00A93C29">
            <w:pPr>
              <w:pStyle w:val="Bezodstpw"/>
              <w:jc w:val="both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Formułuje wnioski dotyczące odbiorców świadczeń zdrowotnych w zakresie wykonywanych badań / zabiegów terapeutycznych. Formułuje opinie dotyczące różnych aspektów działalności zawodowej.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FCFF6" w14:textId="77777777" w:rsidR="00A93C29" w:rsidRPr="00A93C29" w:rsidRDefault="00A93C29" w:rsidP="006558A3">
            <w:pPr>
              <w:pStyle w:val="Bezodstpw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K_K09</w:t>
            </w:r>
          </w:p>
        </w:tc>
      </w:tr>
      <w:tr w:rsidR="00A93C29" w:rsidRPr="00A93C29" w14:paraId="5B5EA9DA" w14:textId="77777777" w:rsidTr="00A93C29">
        <w:trPr>
          <w:trHeight w:val="263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12A3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P_K05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B913" w14:textId="77777777" w:rsidR="00A93C29" w:rsidRPr="00A93C29" w:rsidRDefault="00A93C29" w:rsidP="00A93C29">
            <w:pPr>
              <w:pStyle w:val="Bezodstpw"/>
              <w:jc w:val="both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Rozumie potrzeby przekazywania społeczeństwu informacji o osiągnięciach naukowych związanych z reprezentowaną dziedziną wiedzy.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E0125" w14:textId="77777777" w:rsidR="00A93C29" w:rsidRPr="00A93C29" w:rsidRDefault="00A93C29" w:rsidP="006558A3">
            <w:pPr>
              <w:pStyle w:val="Bezodstpw"/>
              <w:rPr>
                <w:rFonts w:ascii="Times New Roman" w:hAnsi="Times New Roman"/>
              </w:rPr>
            </w:pPr>
            <w:r w:rsidRPr="00A93C29">
              <w:rPr>
                <w:rFonts w:ascii="Times New Roman" w:hAnsi="Times New Roman"/>
              </w:rPr>
              <w:t>K_K11</w:t>
            </w:r>
          </w:p>
        </w:tc>
      </w:tr>
      <w:tr w:rsidR="00A93C29" w:rsidRPr="00A93C29" w14:paraId="74F924E7" w14:textId="77777777" w:rsidTr="00A93C29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A6FFFD" w14:textId="77777777" w:rsidR="00A93C29" w:rsidRPr="00A93C29" w:rsidRDefault="00A93C29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B7670C" w14:textId="77777777" w:rsidR="00A93C29" w:rsidRPr="00A93C29" w:rsidRDefault="00A93C29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Liczba godzin </w:t>
            </w:r>
          </w:p>
        </w:tc>
      </w:tr>
      <w:tr w:rsidR="00A93C29" w:rsidRPr="00A93C29" w14:paraId="05798294" w14:textId="77777777" w:rsidTr="00A93C29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A157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3DFB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 10</w:t>
            </w:r>
          </w:p>
        </w:tc>
      </w:tr>
      <w:tr w:rsidR="00A93C29" w:rsidRPr="00A93C29" w14:paraId="6ED7BD94" w14:textId="77777777" w:rsidTr="00A93C2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2AAE" w14:textId="77777777" w:rsidR="00A93C29" w:rsidRPr="00A93C29" w:rsidRDefault="00A93C29" w:rsidP="00A93C29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lastRenderedPageBreak/>
              <w:t xml:space="preserve">Rozwój promocji zdrowia i w Polsce i na świecie. </w:t>
            </w:r>
          </w:p>
          <w:p w14:paraId="25D9108E" w14:textId="77777777" w:rsidR="00A93C29" w:rsidRPr="00A93C29" w:rsidRDefault="00A93C29" w:rsidP="00A93C29">
            <w:pPr>
              <w:spacing w:after="0" w:line="259" w:lineRule="auto"/>
              <w:ind w:left="58" w:right="0" w:firstLine="0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 xml:space="preserve">Zdrowie, modele zdrowia, uwarunkowania i działania kształtujące zdrowie, determinanty zdrowia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EC08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5</w:t>
            </w:r>
          </w:p>
        </w:tc>
      </w:tr>
      <w:tr w:rsidR="00A93C29" w:rsidRPr="00A93C29" w14:paraId="432670F9" w14:textId="77777777" w:rsidTr="00A93C2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CC53" w14:textId="77777777" w:rsidR="00A93C29" w:rsidRPr="00A93C29" w:rsidRDefault="00A93C29" w:rsidP="00A93C29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 xml:space="preserve">Założenia i cele promocji zdrowia </w:t>
            </w:r>
          </w:p>
          <w:p w14:paraId="7EFB8C34" w14:textId="77777777" w:rsidR="00A93C29" w:rsidRPr="00A93C29" w:rsidRDefault="00A93C29" w:rsidP="00A93C29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 xml:space="preserve">Edukacja zdrowotna – modele i skuteczność edukacji zdrowotnej </w:t>
            </w:r>
          </w:p>
          <w:p w14:paraId="133E90FE" w14:textId="77777777" w:rsidR="00A93C29" w:rsidRPr="00A93C29" w:rsidRDefault="00A93C29" w:rsidP="00A93C29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Główne zagrożenia zdrowotne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D1B8A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5</w:t>
            </w:r>
          </w:p>
        </w:tc>
      </w:tr>
      <w:tr w:rsidR="00A93C29" w:rsidRPr="00A93C29" w14:paraId="6D8B2CD2" w14:textId="77777777" w:rsidTr="00A93C2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D341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3371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A93C29">
              <w:rPr>
                <w:b/>
                <w:bCs/>
                <w:sz w:val="22"/>
              </w:rPr>
              <w:t>5</w:t>
            </w:r>
          </w:p>
        </w:tc>
      </w:tr>
      <w:tr w:rsidR="00A93C29" w:rsidRPr="00A93C29" w14:paraId="51BF0BE6" w14:textId="77777777" w:rsidTr="00A93C2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6C07" w14:textId="77777777" w:rsidR="00A93C29" w:rsidRPr="00A93C29" w:rsidRDefault="00A93C29" w:rsidP="00A93C29">
            <w:pPr>
              <w:spacing w:after="0" w:line="259" w:lineRule="auto"/>
              <w:ind w:left="58" w:right="0" w:firstLine="0"/>
              <w:rPr>
                <w:color w:val="FF0000"/>
                <w:sz w:val="22"/>
              </w:rPr>
            </w:pPr>
            <w:r w:rsidRPr="00A93C29">
              <w:rPr>
                <w:color w:val="auto"/>
                <w:sz w:val="22"/>
              </w:rPr>
              <w:t>Wprowadzenie do zajęć. Zachowania zdrowotne i ich uwarunkowania. Narzędzia wykorzystywane dla potrzeb promocji zdrowia. Programy zdrowotne jako narzędzie promocji zdrowia. Promocja zdrowia w społecznościach lokalnych. Promocja zdrowia psychicznego. Zachowania zdrowotne – Kwestionariusz IZZ. Podstawy poradnictwa zdrowotnego w promocji zdrowia. Samokontrola w profilaktyce pierwotnej i wtórnej chorób cywilizacyjnych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0636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5</w:t>
            </w:r>
          </w:p>
        </w:tc>
      </w:tr>
      <w:tr w:rsidR="00A93C29" w:rsidRPr="00A93C29" w14:paraId="4C1D7BF6" w14:textId="77777777" w:rsidTr="00A93C2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5EEE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93C29">
              <w:rPr>
                <w:b/>
                <w:sz w:val="22"/>
              </w:rPr>
              <w:t>21.3.ĆWICZENIA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AB45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93C29">
              <w:rPr>
                <w:color w:val="auto"/>
                <w:sz w:val="22"/>
              </w:rPr>
              <w:t>0</w:t>
            </w:r>
          </w:p>
        </w:tc>
      </w:tr>
      <w:tr w:rsidR="00A93C29" w:rsidRPr="00A93C29" w14:paraId="76F3AC3F" w14:textId="77777777" w:rsidTr="00A93C29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7CFD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b/>
                <w:sz w:val="22"/>
              </w:rPr>
              <w:t>21.4. ZAJĘCIA PRAKTYCZNE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A99D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93C29">
              <w:rPr>
                <w:b/>
                <w:color w:val="auto"/>
                <w:sz w:val="22"/>
              </w:rPr>
              <w:t>15</w:t>
            </w:r>
          </w:p>
        </w:tc>
      </w:tr>
      <w:tr w:rsidR="00A93C29" w:rsidRPr="00A93C29" w14:paraId="4B33F3B4" w14:textId="77777777" w:rsidTr="00A93C2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3E046" w14:textId="77777777" w:rsidR="00A93C29" w:rsidRPr="00A93C29" w:rsidRDefault="00A93C29" w:rsidP="00A93C29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93C29">
              <w:rPr>
                <w:sz w:val="22"/>
              </w:rPr>
              <w:t xml:space="preserve">Zbieranie wywiadu i ocena stanu zdrowia dla potrzeb działań z zakresu promocji zdrowia. Analiza przyczyn nieprzestrzegania zaleceń i problemy w realizacji zajęć promujących zdrowie.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D324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93C29">
              <w:rPr>
                <w:b/>
                <w:sz w:val="22"/>
              </w:rPr>
              <w:t>5</w:t>
            </w:r>
          </w:p>
        </w:tc>
      </w:tr>
      <w:tr w:rsidR="00A93C29" w:rsidRPr="00A93C29" w14:paraId="3D5AF680" w14:textId="77777777" w:rsidTr="00A93C2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2240" w14:textId="77777777" w:rsidR="00A93C29" w:rsidRPr="00A93C29" w:rsidRDefault="00A93C29" w:rsidP="00A93C2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A93C29">
              <w:rPr>
                <w:sz w:val="22"/>
              </w:rPr>
              <w:t>Zachowania zdrowotne – Kwestionariusz IZZ. Podstawy poradnictwa zdrowotnego w promocji zdrowia. Samokontrola w profilaktyce pierwotnej i wtórnej chorób cywilizacyjnych.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AD45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93C29">
              <w:rPr>
                <w:b/>
                <w:sz w:val="22"/>
              </w:rPr>
              <w:t>2</w:t>
            </w:r>
          </w:p>
        </w:tc>
      </w:tr>
      <w:tr w:rsidR="00A93C29" w:rsidRPr="00A93C29" w14:paraId="5CB4889D" w14:textId="77777777" w:rsidTr="00A93C2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5C72" w14:textId="77777777" w:rsidR="00A93C29" w:rsidRPr="00A93C29" w:rsidRDefault="00A93C29" w:rsidP="00A93C29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A93C29">
              <w:rPr>
                <w:sz w:val="22"/>
              </w:rPr>
              <w:t>Przygotowanie materiałów dla potrzeb edukacji zdrowotnej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7A5A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93C29">
              <w:rPr>
                <w:b/>
                <w:sz w:val="22"/>
              </w:rPr>
              <w:t>3</w:t>
            </w:r>
          </w:p>
        </w:tc>
      </w:tr>
      <w:tr w:rsidR="00A93C29" w:rsidRPr="00A93C29" w14:paraId="214D17E6" w14:textId="77777777" w:rsidTr="00A93C2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D88A" w14:textId="77777777" w:rsidR="00A93C29" w:rsidRPr="00A93C29" w:rsidRDefault="00A93C29" w:rsidP="00A93C29">
            <w:pPr>
              <w:spacing w:after="0" w:line="259" w:lineRule="auto"/>
              <w:ind w:left="16" w:right="0"/>
              <w:rPr>
                <w:sz w:val="22"/>
              </w:rPr>
            </w:pPr>
            <w:r w:rsidRPr="00A93C29">
              <w:rPr>
                <w:sz w:val="22"/>
              </w:rPr>
              <w:t>Realizacja planu terapeutycznego. Praca z pacjentem ze schorzeniami cywilizacyjnymi.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4D004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5 </w:t>
            </w:r>
          </w:p>
        </w:tc>
      </w:tr>
      <w:tr w:rsidR="00A93C29" w:rsidRPr="00A93C29" w14:paraId="6D0C0BD3" w14:textId="77777777" w:rsidTr="00A93C29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A25B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93C29">
              <w:rPr>
                <w:b/>
                <w:sz w:val="22"/>
              </w:rPr>
              <w:t>21.4. SAMOKSZTAŁCENIE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41B2" w14:textId="77777777" w:rsidR="00A93C29" w:rsidRPr="00A93C29" w:rsidRDefault="00A93C29" w:rsidP="006558A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A93C29">
              <w:rPr>
                <w:b/>
                <w:sz w:val="22"/>
              </w:rPr>
              <w:t>45</w:t>
            </w:r>
          </w:p>
        </w:tc>
      </w:tr>
      <w:tr w:rsidR="00A93C29" w:rsidRPr="00A93C29" w14:paraId="4DE6F4DC" w14:textId="77777777" w:rsidTr="00A93C29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22E8668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22. Literatura </w:t>
            </w:r>
          </w:p>
        </w:tc>
      </w:tr>
      <w:tr w:rsidR="00A93C29" w:rsidRPr="00A93C29" w14:paraId="4A2A11B3" w14:textId="77777777" w:rsidTr="00A93C29">
        <w:trPr>
          <w:trHeight w:val="844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74CA" w14:textId="77777777" w:rsidR="00A93C29" w:rsidRPr="00A93C29" w:rsidRDefault="00A93C29" w:rsidP="00A93C29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 xml:space="preserve">Patrycja Stawiarska. Kierunki współczesnej promocji zdrowia i prewencji zaburzeń. Profilaktyka XXI wieku Wydawca: </w:t>
            </w:r>
            <w:proofErr w:type="spellStart"/>
            <w:r w:rsidRPr="00A93C29">
              <w:rPr>
                <w:sz w:val="22"/>
              </w:rPr>
              <w:t>Difin</w:t>
            </w:r>
            <w:proofErr w:type="spellEnd"/>
            <w:r w:rsidRPr="00A93C29">
              <w:rPr>
                <w:sz w:val="22"/>
              </w:rPr>
              <w:t xml:space="preserve"> wyd.: 2019</w:t>
            </w:r>
          </w:p>
          <w:p w14:paraId="00294433" w14:textId="77777777" w:rsidR="00A93C29" w:rsidRPr="00A93C29" w:rsidRDefault="00A93C29" w:rsidP="00A93C29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>Joanna Gromadzk</w:t>
            </w:r>
            <w:bookmarkStart w:id="0" w:name="_GoBack"/>
            <w:bookmarkEnd w:id="0"/>
            <w:r w:rsidRPr="00A93C29">
              <w:rPr>
                <w:sz w:val="22"/>
              </w:rPr>
              <w:t>a-Ostrowska. Edukacja prozdrowotna i promocja zdrowia.  SGGW  wyd.: 2019</w:t>
            </w:r>
          </w:p>
        </w:tc>
      </w:tr>
      <w:tr w:rsidR="00A93C29" w:rsidRPr="00A93C29" w14:paraId="525B34BC" w14:textId="77777777" w:rsidTr="00A93C29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F5CA35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b/>
                <w:sz w:val="22"/>
              </w:rPr>
              <w:t xml:space="preserve">23. Kryteria oceny – szczegóły </w:t>
            </w:r>
          </w:p>
        </w:tc>
      </w:tr>
      <w:tr w:rsidR="00A93C29" w:rsidRPr="00A93C29" w14:paraId="1EFE96EE" w14:textId="77777777" w:rsidTr="00A93C29">
        <w:trPr>
          <w:trHeight w:val="8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2F634" w14:textId="77777777" w:rsidR="00A93C29" w:rsidRPr="00A93C29" w:rsidRDefault="00A93C29" w:rsidP="006558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 xml:space="preserve">Zgodnie z zaleceniami organów kontrolujących. </w:t>
            </w:r>
          </w:p>
          <w:p w14:paraId="5CABDD90" w14:textId="77777777" w:rsidR="00A93C29" w:rsidRPr="00A93C29" w:rsidRDefault="00A93C29" w:rsidP="006558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 xml:space="preserve">Zaliczenie przedmiotu - student osiągnął zakładane efekty uczenia się. </w:t>
            </w:r>
          </w:p>
          <w:p w14:paraId="485FD1C0" w14:textId="77777777" w:rsidR="00A93C29" w:rsidRPr="00A93C29" w:rsidRDefault="00A93C29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93C29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61F37B6E" w14:textId="77777777" w:rsidR="00A93C29" w:rsidRPr="009A2CEF" w:rsidRDefault="00A93C29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A93C29" w:rsidRPr="009A2CEF" w:rsidSect="000D02DC">
      <w:footerReference w:type="even" r:id="rId7"/>
      <w:footerReference w:type="default" r:id="rId8"/>
      <w:footerReference w:type="first" r:id="rId9"/>
      <w:pgSz w:w="11906" w:h="16838"/>
      <w:pgMar w:top="993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B18FD" w14:textId="77777777" w:rsidR="00990883" w:rsidRDefault="00990883">
      <w:pPr>
        <w:spacing w:after="0" w:line="240" w:lineRule="auto"/>
      </w:pPr>
      <w:r>
        <w:separator/>
      </w:r>
    </w:p>
  </w:endnote>
  <w:endnote w:type="continuationSeparator" w:id="0">
    <w:p w14:paraId="20884ACE" w14:textId="77777777" w:rsidR="00990883" w:rsidRDefault="00990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61888" w14:textId="77777777" w:rsidR="000165A9" w:rsidRDefault="00D620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781B8E" w14:textId="77777777" w:rsidR="000165A9" w:rsidRDefault="00D6201A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67576" w14:textId="77777777" w:rsidR="000165A9" w:rsidRDefault="00D620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F250AAE" w14:textId="77777777" w:rsidR="000165A9" w:rsidRDefault="00D6201A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22D92" w14:textId="77777777" w:rsidR="000165A9" w:rsidRDefault="00D6201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88AE6C5" w14:textId="77777777" w:rsidR="000165A9" w:rsidRDefault="00D6201A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2C3D6" w14:textId="77777777" w:rsidR="00990883" w:rsidRDefault="00990883">
      <w:pPr>
        <w:spacing w:after="0" w:line="240" w:lineRule="auto"/>
      </w:pPr>
      <w:r>
        <w:separator/>
      </w:r>
    </w:p>
  </w:footnote>
  <w:footnote w:type="continuationSeparator" w:id="0">
    <w:p w14:paraId="641B2ECD" w14:textId="77777777" w:rsidR="00990883" w:rsidRDefault="00990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5171D"/>
    <w:multiLevelType w:val="hybridMultilevel"/>
    <w:tmpl w:val="1576A264"/>
    <w:lvl w:ilvl="0" w:tplc="ED52F156">
      <w:start w:val="1"/>
      <w:numFmt w:val="decimal"/>
      <w:lvlText w:val="%1."/>
      <w:lvlJc w:val="left"/>
      <w:pPr>
        <w:ind w:left="4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5" w:hanging="360"/>
      </w:pPr>
    </w:lvl>
    <w:lvl w:ilvl="2" w:tplc="0415001B" w:tentative="1">
      <w:start w:val="1"/>
      <w:numFmt w:val="lowerRoman"/>
      <w:lvlText w:val="%3."/>
      <w:lvlJc w:val="right"/>
      <w:pPr>
        <w:ind w:left="1925" w:hanging="180"/>
      </w:pPr>
    </w:lvl>
    <w:lvl w:ilvl="3" w:tplc="0415000F" w:tentative="1">
      <w:start w:val="1"/>
      <w:numFmt w:val="decimal"/>
      <w:lvlText w:val="%4."/>
      <w:lvlJc w:val="left"/>
      <w:pPr>
        <w:ind w:left="2645" w:hanging="360"/>
      </w:pPr>
    </w:lvl>
    <w:lvl w:ilvl="4" w:tplc="04150019" w:tentative="1">
      <w:start w:val="1"/>
      <w:numFmt w:val="lowerLetter"/>
      <w:lvlText w:val="%5."/>
      <w:lvlJc w:val="left"/>
      <w:pPr>
        <w:ind w:left="3365" w:hanging="360"/>
      </w:pPr>
    </w:lvl>
    <w:lvl w:ilvl="5" w:tplc="0415001B" w:tentative="1">
      <w:start w:val="1"/>
      <w:numFmt w:val="lowerRoman"/>
      <w:lvlText w:val="%6."/>
      <w:lvlJc w:val="right"/>
      <w:pPr>
        <w:ind w:left="4085" w:hanging="180"/>
      </w:pPr>
    </w:lvl>
    <w:lvl w:ilvl="6" w:tplc="0415000F" w:tentative="1">
      <w:start w:val="1"/>
      <w:numFmt w:val="decimal"/>
      <w:lvlText w:val="%7."/>
      <w:lvlJc w:val="left"/>
      <w:pPr>
        <w:ind w:left="4805" w:hanging="360"/>
      </w:pPr>
    </w:lvl>
    <w:lvl w:ilvl="7" w:tplc="04150019" w:tentative="1">
      <w:start w:val="1"/>
      <w:numFmt w:val="lowerLetter"/>
      <w:lvlText w:val="%8."/>
      <w:lvlJc w:val="left"/>
      <w:pPr>
        <w:ind w:left="5525" w:hanging="360"/>
      </w:pPr>
    </w:lvl>
    <w:lvl w:ilvl="8" w:tplc="0415001B" w:tentative="1">
      <w:start w:val="1"/>
      <w:numFmt w:val="lowerRoman"/>
      <w:lvlText w:val="%9."/>
      <w:lvlJc w:val="right"/>
      <w:pPr>
        <w:ind w:left="6245" w:hanging="180"/>
      </w:pPr>
    </w:lvl>
  </w:abstractNum>
  <w:abstractNum w:abstractNumId="1" w15:restartNumberingAfterBreak="0">
    <w:nsid w:val="38E577DA"/>
    <w:multiLevelType w:val="multilevel"/>
    <w:tmpl w:val="5C0A77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4D5618"/>
    <w:multiLevelType w:val="multilevel"/>
    <w:tmpl w:val="590A4668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3BA90B9C"/>
    <w:multiLevelType w:val="multilevel"/>
    <w:tmpl w:val="204EBCFA"/>
    <w:lvl w:ilvl="0">
      <w:start w:val="1"/>
      <w:numFmt w:val="decimal"/>
      <w:lvlText w:val="%1."/>
      <w:lvlJc w:val="left"/>
      <w:pPr>
        <w:tabs>
          <w:tab w:val="num" w:pos="0"/>
        </w:tabs>
        <w:ind w:left="4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78" w:hanging="180"/>
      </w:pPr>
    </w:lvl>
  </w:abstractNum>
  <w:abstractNum w:abstractNumId="4" w15:restartNumberingAfterBreak="0">
    <w:nsid w:val="585B6A92"/>
    <w:multiLevelType w:val="hybridMultilevel"/>
    <w:tmpl w:val="17D213DC"/>
    <w:lvl w:ilvl="0" w:tplc="1E121790">
      <w:start w:val="1"/>
      <w:numFmt w:val="decimal"/>
      <w:lvlText w:val="%1."/>
      <w:lvlJc w:val="left"/>
      <w:pPr>
        <w:ind w:left="74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A9"/>
    <w:rsid w:val="000165A9"/>
    <w:rsid w:val="000D02DC"/>
    <w:rsid w:val="00105329"/>
    <w:rsid w:val="00235F37"/>
    <w:rsid w:val="00990883"/>
    <w:rsid w:val="009A2CEF"/>
    <w:rsid w:val="00A93C29"/>
    <w:rsid w:val="00BD68F9"/>
    <w:rsid w:val="00D6201A"/>
    <w:rsid w:val="00DA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C67"/>
  <w15:docId w15:val="{6503EF2E-3F36-491A-B268-2867CEF8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6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2A1A"/>
    <w:pPr>
      <w:ind w:left="720"/>
      <w:contextualSpacing/>
    </w:pPr>
  </w:style>
  <w:style w:type="paragraph" w:styleId="Bezodstpw">
    <w:name w:val="No Spacing"/>
    <w:uiPriority w:val="1"/>
    <w:qFormat/>
    <w:rsid w:val="00135FC7"/>
    <w:rPr>
      <w:rFonts w:cs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926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4</cp:revision>
  <cp:lastPrinted>2023-01-30T10:40:00Z</cp:lastPrinted>
  <dcterms:created xsi:type="dcterms:W3CDTF">2024-02-12T14:17:00Z</dcterms:created>
  <dcterms:modified xsi:type="dcterms:W3CDTF">2024-08-19T12:33:00Z</dcterms:modified>
  <dc:language>pl-PL</dc:language>
</cp:coreProperties>
</file>