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042BDD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042BDD">
        <w:rPr>
          <w:b/>
          <w:i/>
          <w:sz w:val="22"/>
          <w:szCs w:val="22"/>
        </w:rPr>
        <w:t>Załącznik nr 1a</w:t>
      </w:r>
    </w:p>
    <w:p w:rsidR="00FE3FCA" w:rsidRPr="00042BDD" w:rsidRDefault="008050C4" w:rsidP="00042BD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42BDD">
        <w:rPr>
          <w:sz w:val="22"/>
        </w:rPr>
        <w:t xml:space="preserve">Karta przedmiotu </w:t>
      </w:r>
    </w:p>
    <w:p w:rsidR="008050C4" w:rsidRPr="00042BDD" w:rsidRDefault="008050C4" w:rsidP="00042BDD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42BD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2194"/>
        <w:gridCol w:w="2265"/>
        <w:gridCol w:w="848"/>
      </w:tblGrid>
      <w:tr w:rsidR="008050C4" w:rsidRPr="00042BD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42BDD" w:rsidRDefault="008050C4" w:rsidP="008050C4">
            <w:pPr>
              <w:spacing w:line="259" w:lineRule="auto"/>
              <w:ind w:left="38"/>
              <w:jc w:val="center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FA14FB" w:rsidRPr="00042BDD" w:rsidTr="00042BDD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042BDD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  <w:b/>
              </w:rPr>
              <w:t>1. Kierunek studiów:</w:t>
            </w:r>
            <w:r w:rsidR="0079274E" w:rsidRPr="00042BDD">
              <w:rPr>
                <w:rFonts w:ascii="Times New Roman" w:hAnsi="Times New Roman"/>
              </w:rPr>
              <w:t xml:space="preserve"> F</w:t>
            </w:r>
            <w:r w:rsidRPr="00042BDD">
              <w:rPr>
                <w:rFonts w:ascii="Times New Roman" w:hAnsi="Times New Roman"/>
              </w:rPr>
              <w:t>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E10" w:rsidRDefault="00FA14FB" w:rsidP="0079274E">
            <w:pPr>
              <w:ind w:left="10" w:right="227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>2. Poziom kształcenia:</w:t>
            </w:r>
            <w:r w:rsidR="00AE0678" w:rsidRPr="00042BDD">
              <w:rPr>
                <w:sz w:val="22"/>
                <w:szCs w:val="22"/>
              </w:rPr>
              <w:t xml:space="preserve"> </w:t>
            </w:r>
          </w:p>
          <w:p w:rsidR="00FA14FB" w:rsidRPr="00042BDD" w:rsidRDefault="00AE0678" w:rsidP="0079274E">
            <w:pPr>
              <w:ind w:left="10" w:right="227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j</w:t>
            </w:r>
            <w:r w:rsidR="00FA14FB" w:rsidRPr="00042BDD">
              <w:rPr>
                <w:sz w:val="22"/>
                <w:szCs w:val="22"/>
              </w:rPr>
              <w:t xml:space="preserve">ednolite studia magisterskie/ profil </w:t>
            </w:r>
            <w:proofErr w:type="spellStart"/>
            <w:r w:rsidR="00FA14FB" w:rsidRPr="00042BDD">
              <w:rPr>
                <w:sz w:val="22"/>
                <w:szCs w:val="22"/>
              </w:rPr>
              <w:t>ogólnoakademicki</w:t>
            </w:r>
            <w:proofErr w:type="spellEnd"/>
          </w:p>
          <w:p w:rsidR="00FA14FB" w:rsidRPr="00042BDD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  <w:b/>
              </w:rPr>
              <w:t>3. Forma studiów:</w:t>
            </w:r>
            <w:r w:rsidR="00042BDD">
              <w:rPr>
                <w:rFonts w:ascii="Times New Roman" w:hAnsi="Times New Roman"/>
                <w:b/>
              </w:rPr>
              <w:t xml:space="preserve"> </w:t>
            </w:r>
            <w:r w:rsidR="00A32E2C" w:rsidRPr="00042BDD">
              <w:rPr>
                <w:rFonts w:ascii="Times New Roman" w:hAnsi="Times New Roman"/>
              </w:rPr>
              <w:t>nie</w:t>
            </w:r>
            <w:r w:rsidRPr="00042BDD">
              <w:rPr>
                <w:rFonts w:ascii="Times New Roman" w:hAnsi="Times New Roman"/>
              </w:rPr>
              <w:t>stacjonarne</w:t>
            </w:r>
          </w:p>
        </w:tc>
      </w:tr>
      <w:tr w:rsidR="00FA14FB" w:rsidRPr="00042BDD" w:rsidTr="00042BDD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A32E2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42BDD">
              <w:rPr>
                <w:rFonts w:ascii="Times New Roman" w:hAnsi="Times New Roman"/>
                <w:b/>
              </w:rPr>
              <w:t>4. Rok:</w:t>
            </w:r>
            <w:r w:rsidR="00591AF7" w:rsidRPr="00042BDD">
              <w:rPr>
                <w:rFonts w:ascii="Times New Roman" w:hAnsi="Times New Roman"/>
              </w:rPr>
              <w:t xml:space="preserve"> III/ </w:t>
            </w:r>
            <w:r w:rsidR="0079274E" w:rsidRPr="00042BDD">
              <w:rPr>
                <w:rFonts w:ascii="Times New Roman" w:hAnsi="Times New Roman"/>
              </w:rPr>
              <w:t xml:space="preserve">cykl </w:t>
            </w:r>
            <w:r w:rsidR="00591AF7" w:rsidRPr="00042BDD">
              <w:rPr>
                <w:rFonts w:ascii="Times New Roman" w:hAnsi="Times New Roman"/>
              </w:rPr>
              <w:t>202</w:t>
            </w:r>
            <w:r w:rsidR="00A32E2C" w:rsidRPr="00042BDD">
              <w:rPr>
                <w:rFonts w:ascii="Times New Roman" w:hAnsi="Times New Roman"/>
              </w:rPr>
              <w:t>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  <w:b/>
              </w:rPr>
              <w:t xml:space="preserve">5. Semestr: </w:t>
            </w:r>
            <w:r w:rsidRPr="00042BDD">
              <w:rPr>
                <w:rFonts w:ascii="Times New Roman" w:hAnsi="Times New Roman"/>
              </w:rPr>
              <w:t>V, VI</w:t>
            </w:r>
          </w:p>
        </w:tc>
      </w:tr>
      <w:tr w:rsidR="00FA14FB" w:rsidRPr="00042BD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79274E">
            <w:pPr>
              <w:ind w:left="10" w:right="283"/>
              <w:rPr>
                <w:b/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>6. Nazwa przedmiotu:</w:t>
            </w:r>
            <w:r w:rsidRPr="00042BDD">
              <w:rPr>
                <w:sz w:val="22"/>
                <w:szCs w:val="22"/>
              </w:rPr>
              <w:t xml:space="preserve"> Fizjoterapia kliniczna</w:t>
            </w:r>
            <w:r w:rsidR="0079274E" w:rsidRPr="00042BDD">
              <w:rPr>
                <w:sz w:val="22"/>
                <w:szCs w:val="22"/>
              </w:rPr>
              <w:t xml:space="preserve"> w dysfunkcjach układu ruchu w </w:t>
            </w:r>
            <w:r w:rsidRPr="00042BDD">
              <w:rPr>
                <w:sz w:val="22"/>
                <w:szCs w:val="22"/>
              </w:rPr>
              <w:t>medycynie sportowej</w:t>
            </w:r>
          </w:p>
        </w:tc>
      </w:tr>
      <w:tr w:rsidR="00FA14FB" w:rsidRPr="00042BD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  <w:b/>
              </w:rPr>
              <w:t>7. Status przedmiotu:</w:t>
            </w:r>
            <w:r w:rsidRPr="00042BDD">
              <w:rPr>
                <w:rFonts w:ascii="Times New Roman" w:hAnsi="Times New Roman"/>
              </w:rPr>
              <w:t xml:space="preserve"> obowiązkowy</w:t>
            </w:r>
          </w:p>
        </w:tc>
      </w:tr>
      <w:tr w:rsidR="008050C4" w:rsidRPr="00042BDD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8.  Cel/-e przedmiotu  </w:t>
            </w:r>
          </w:p>
          <w:p w:rsidR="00FA14FB" w:rsidRPr="00042BDD" w:rsidRDefault="00FA14FB" w:rsidP="00042BD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</w:rPr>
              <w:t>Przygotowanie studentów do realizacji kompleksowego planu terapeutycznego na bazie fizjoterapeutycznego badania podmiotowego i przedmiotowego pacjenta z wybraną dysfunkcją narządu ruchu</w:t>
            </w:r>
          </w:p>
          <w:p w:rsidR="00FA14FB" w:rsidRPr="00042BDD" w:rsidRDefault="00FA14FB" w:rsidP="00042BD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</w:rPr>
              <w:t>Zapoznanie studentów z właściwościami zabiegów fizykalnych i mechanizmami ich działania, ze wskazaniami oraz przeciwwskazaniami oraz możliwościami ich wykorzystania w fizjoterapii</w:t>
            </w:r>
          </w:p>
          <w:p w:rsidR="00FA14FB" w:rsidRPr="00042BDD" w:rsidRDefault="00FA14FB" w:rsidP="00042BD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</w:rPr>
              <w:t>Zapoznanie studentów z tematyką urazów sportowych, ich diagnostyką i proponowanymi formami leczenia w obrębie fizjoterapii</w:t>
            </w:r>
          </w:p>
          <w:p w:rsidR="008050C4" w:rsidRPr="00042BDD" w:rsidRDefault="00FA14FB" w:rsidP="00042BDD">
            <w:pPr>
              <w:pStyle w:val="Akapitzlist"/>
              <w:numPr>
                <w:ilvl w:val="0"/>
                <w:numId w:val="28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042BDD">
              <w:rPr>
                <w:rFonts w:ascii="Times New Roman" w:hAnsi="Times New Roman"/>
              </w:rPr>
              <w:t>Zapoznanie studentów z zagadnieniami bólu i zaburzeń napięcia mięśniowego, zaburzeń odnowy tkankowej jako najczęstszych powikłań urazów sportowych</w:t>
            </w:r>
          </w:p>
          <w:p w:rsidR="00042BDD" w:rsidRDefault="00042BDD" w:rsidP="008050C4">
            <w:pPr>
              <w:spacing w:after="13" w:line="259" w:lineRule="auto"/>
              <w:ind w:left="28"/>
              <w:rPr>
                <w:b/>
                <w:sz w:val="22"/>
                <w:szCs w:val="22"/>
              </w:rPr>
            </w:pPr>
          </w:p>
          <w:p w:rsidR="008050C4" w:rsidRPr="00042BDD" w:rsidRDefault="008050C4" w:rsidP="00042BDD">
            <w:pPr>
              <w:spacing w:after="13" w:line="259" w:lineRule="auto"/>
              <w:ind w:left="28"/>
              <w:jc w:val="both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042BDD">
              <w:rPr>
                <w:sz w:val="22"/>
                <w:szCs w:val="22"/>
              </w:rPr>
              <w:t xml:space="preserve">zawartych w </w:t>
            </w:r>
            <w:r w:rsidRPr="00042BDD">
              <w:rPr>
                <w:i/>
                <w:sz w:val="22"/>
                <w:szCs w:val="22"/>
              </w:rPr>
              <w:t>(właściwe podkreślić)</w:t>
            </w:r>
            <w:r w:rsidRPr="00042BDD">
              <w:rPr>
                <w:sz w:val="22"/>
                <w:szCs w:val="22"/>
              </w:rPr>
              <w:t xml:space="preserve">: </w:t>
            </w:r>
          </w:p>
          <w:p w:rsidR="00FA14FB" w:rsidRPr="00042BDD" w:rsidRDefault="008050C4" w:rsidP="00042BDD">
            <w:pPr>
              <w:spacing w:after="15" w:line="263" w:lineRule="auto"/>
              <w:ind w:left="28"/>
              <w:jc w:val="both"/>
              <w:rPr>
                <w:i/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standardach kształcenia (</w:t>
            </w:r>
            <w:r w:rsidRPr="00042BDD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042BDD">
              <w:rPr>
                <w:sz w:val="22"/>
                <w:szCs w:val="22"/>
              </w:rPr>
              <w:t xml:space="preserve">)/Uchwale Senatu SUM </w:t>
            </w:r>
            <w:r w:rsidRPr="00042BDD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:rsidR="008050C4" w:rsidRPr="00042BDD" w:rsidRDefault="008050C4" w:rsidP="008050C4">
            <w:pPr>
              <w:spacing w:after="15" w:line="263" w:lineRule="auto"/>
              <w:ind w:left="28" w:right="296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w zakresie wiedzy student zna i rozumie: </w:t>
            </w:r>
            <w:r w:rsidR="004F7190" w:rsidRPr="00042BDD">
              <w:rPr>
                <w:sz w:val="22"/>
                <w:szCs w:val="22"/>
              </w:rPr>
              <w:t xml:space="preserve">D.W1, </w:t>
            </w:r>
            <w:r w:rsidR="0079274E" w:rsidRPr="00042BDD">
              <w:rPr>
                <w:sz w:val="22"/>
                <w:szCs w:val="22"/>
              </w:rPr>
              <w:t>D.W2</w:t>
            </w:r>
          </w:p>
          <w:p w:rsidR="00FA14FB" w:rsidRPr="00042BDD" w:rsidRDefault="008050C4" w:rsidP="0079274E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w zakresie umiejętności student potrafi:</w:t>
            </w:r>
            <w:r w:rsidR="004F7190" w:rsidRPr="00042BDD">
              <w:rPr>
                <w:sz w:val="22"/>
                <w:szCs w:val="22"/>
              </w:rPr>
              <w:t xml:space="preserve"> D.U1, DU4, D.U6,</w:t>
            </w:r>
            <w:r w:rsidR="00AE0678" w:rsidRPr="00042BDD">
              <w:rPr>
                <w:sz w:val="22"/>
                <w:szCs w:val="22"/>
              </w:rPr>
              <w:t xml:space="preserve"> D.U7</w:t>
            </w:r>
          </w:p>
          <w:p w:rsidR="008050C4" w:rsidRPr="00042BDD" w:rsidRDefault="008050C4" w:rsidP="0079274E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w zakresie kompetencji społecznych student:</w:t>
            </w:r>
            <w:r w:rsidR="0079274E" w:rsidRPr="00042BDD">
              <w:rPr>
                <w:sz w:val="22"/>
                <w:szCs w:val="22"/>
              </w:rPr>
              <w:t>OK_K</w:t>
            </w:r>
            <w:r w:rsidR="00FA14FB" w:rsidRPr="00042BDD">
              <w:rPr>
                <w:sz w:val="22"/>
                <w:szCs w:val="22"/>
              </w:rPr>
              <w:t xml:space="preserve">01, </w:t>
            </w:r>
            <w:r w:rsidR="0079274E" w:rsidRPr="00042BDD">
              <w:rPr>
                <w:sz w:val="22"/>
                <w:szCs w:val="22"/>
              </w:rPr>
              <w:t>O</w:t>
            </w:r>
            <w:r w:rsidR="00FA14FB" w:rsidRPr="00042BDD">
              <w:rPr>
                <w:sz w:val="22"/>
                <w:szCs w:val="22"/>
              </w:rPr>
              <w:t xml:space="preserve">K_K05, </w:t>
            </w:r>
            <w:r w:rsidR="0079274E" w:rsidRPr="00042BDD">
              <w:rPr>
                <w:sz w:val="22"/>
                <w:szCs w:val="22"/>
              </w:rPr>
              <w:t>O</w:t>
            </w:r>
            <w:r w:rsidR="00FA14FB" w:rsidRPr="00042BDD">
              <w:rPr>
                <w:sz w:val="22"/>
                <w:szCs w:val="22"/>
              </w:rPr>
              <w:t xml:space="preserve">K_K06, </w:t>
            </w:r>
            <w:r w:rsidR="0079274E" w:rsidRPr="00042BDD">
              <w:rPr>
                <w:sz w:val="22"/>
                <w:szCs w:val="22"/>
              </w:rPr>
              <w:t>O</w:t>
            </w:r>
            <w:r w:rsidR="00FA14FB" w:rsidRPr="00042BDD">
              <w:rPr>
                <w:sz w:val="22"/>
                <w:szCs w:val="22"/>
              </w:rPr>
              <w:t xml:space="preserve">K_07, </w:t>
            </w:r>
            <w:r w:rsidR="0079274E" w:rsidRPr="00042BDD">
              <w:rPr>
                <w:sz w:val="22"/>
                <w:szCs w:val="22"/>
              </w:rPr>
              <w:t>O</w:t>
            </w:r>
            <w:r w:rsidR="00FA14FB" w:rsidRPr="00042BDD">
              <w:rPr>
                <w:sz w:val="22"/>
                <w:szCs w:val="22"/>
              </w:rPr>
              <w:t>K_09</w:t>
            </w:r>
          </w:p>
        </w:tc>
      </w:tr>
      <w:tr w:rsidR="008050C4" w:rsidRPr="00042BDD" w:rsidTr="00042BDD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42BDD" w:rsidRDefault="00801778" w:rsidP="004F7190">
            <w:pPr>
              <w:spacing w:line="259" w:lineRule="auto"/>
              <w:ind w:left="26"/>
              <w:jc w:val="center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>7</w:t>
            </w:r>
            <w:r w:rsidR="009973E0" w:rsidRPr="00042BD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55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42BDD" w:rsidRDefault="00FA14FB" w:rsidP="008050C4">
            <w:pPr>
              <w:spacing w:line="259" w:lineRule="auto"/>
              <w:ind w:left="146"/>
              <w:jc w:val="center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>4</w:t>
            </w:r>
          </w:p>
        </w:tc>
      </w:tr>
      <w:tr w:rsidR="008050C4" w:rsidRPr="00042BD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FA14F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11. Forma zaliczenia przedmiotu: </w:t>
            </w:r>
            <w:r w:rsidR="007D79A0" w:rsidRPr="00042BDD">
              <w:rPr>
                <w:sz w:val="22"/>
                <w:szCs w:val="22"/>
              </w:rPr>
              <w:t>egzamin zintegrowany</w:t>
            </w:r>
          </w:p>
        </w:tc>
      </w:tr>
      <w:tr w:rsidR="008050C4" w:rsidRPr="00042BD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42BDD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050C4" w:rsidRPr="00042BDD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32"/>
              <w:jc w:val="center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31"/>
              <w:jc w:val="center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42BDD" w:rsidRDefault="008050C4" w:rsidP="008050C4">
            <w:pPr>
              <w:spacing w:line="259" w:lineRule="auto"/>
              <w:ind w:left="36"/>
              <w:jc w:val="center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FA14FB" w:rsidRPr="00042BDD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79274E">
            <w:pPr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FA14FB" w:rsidRPr="00042BDD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79274E">
            <w:pPr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Obserwacja studenta demonstrującego umiejętność 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FA14FB" w:rsidRPr="00042BDD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79274E">
            <w:pPr>
              <w:rPr>
                <w:sz w:val="22"/>
                <w:szCs w:val="22"/>
              </w:rPr>
            </w:pPr>
            <w:r w:rsidRPr="00042BDD">
              <w:rPr>
                <w:sz w:val="22"/>
                <w:szCs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042BDD" w:rsidRDefault="00FA14FB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42BDD">
              <w:rPr>
                <w:b/>
                <w:sz w:val="22"/>
                <w:szCs w:val="22"/>
              </w:rPr>
              <w:t xml:space="preserve"> *</w:t>
            </w:r>
          </w:p>
        </w:tc>
      </w:tr>
    </w:tbl>
    <w:p w:rsidR="00042BDD" w:rsidRDefault="00042BDD" w:rsidP="008050C4">
      <w:pPr>
        <w:spacing w:after="306" w:line="259" w:lineRule="auto"/>
        <w:ind w:left="341"/>
        <w:rPr>
          <w:b/>
          <w:sz w:val="22"/>
          <w:szCs w:val="22"/>
        </w:rPr>
      </w:pPr>
    </w:p>
    <w:p w:rsidR="00042BDD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8"/>
          <w:szCs w:val="28"/>
          <w:lang w:eastAsia="en-US"/>
        </w:rPr>
        <w:t xml:space="preserve">* </w:t>
      </w:r>
      <w:r w:rsidRPr="00F11F8C">
        <w:rPr>
          <w:sz w:val="22"/>
          <w:lang w:eastAsia="en-US"/>
        </w:rPr>
        <w:t>w przypadku egzaminu/zaliczenia na ocenę zakłada się, że ocena oznacza na poziomie:</w:t>
      </w: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Bardzo dobry (5,0) </w:t>
      </w:r>
      <w:r w:rsidRPr="00F11F8C">
        <w:rPr>
          <w:sz w:val="22"/>
          <w:lang w:eastAsia="en-US"/>
        </w:rPr>
        <w:t xml:space="preserve">- zakładane efekty uczenia się zostały osiągnięte i znacznym stopniu przekraczają wymagany poziom </w:t>
      </w: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Ponad dobry (4,5) </w:t>
      </w:r>
      <w:r w:rsidRPr="00F11F8C">
        <w:rPr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Dobry (4,0) </w:t>
      </w:r>
      <w:r w:rsidRPr="00F11F8C">
        <w:rPr>
          <w:sz w:val="22"/>
          <w:lang w:eastAsia="en-US"/>
        </w:rPr>
        <w:t xml:space="preserve">– zakładane efekty uczenia się zostały osiągnięte na wymaganym poziomie </w:t>
      </w: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Dość dobry (3,5) </w:t>
      </w:r>
      <w:r w:rsidRPr="00F11F8C">
        <w:rPr>
          <w:sz w:val="22"/>
          <w:lang w:eastAsia="en-US"/>
        </w:rPr>
        <w:t xml:space="preserve">– zakładane efekty uczenia się zostały osiągnięte na średnim wymaganym poziomie </w:t>
      </w:r>
    </w:p>
    <w:p w:rsidR="00042BDD" w:rsidRPr="00F11F8C" w:rsidRDefault="00042BDD" w:rsidP="00042BDD">
      <w:pPr>
        <w:autoSpaceDE w:val="0"/>
        <w:autoSpaceDN w:val="0"/>
        <w:adjustRightInd w:val="0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Dostateczny (3,0) </w:t>
      </w:r>
      <w:r w:rsidRPr="00F11F8C">
        <w:rPr>
          <w:sz w:val="22"/>
          <w:lang w:eastAsia="en-US"/>
        </w:rPr>
        <w:t xml:space="preserve">- zakładane efekty uczenia się zostały osiągnięte na minimalnym wymaganym poziomie </w:t>
      </w:r>
    </w:p>
    <w:p w:rsidR="008003D6" w:rsidRDefault="00042BDD" w:rsidP="00042BDD">
      <w:pPr>
        <w:spacing w:after="306" w:line="259" w:lineRule="auto"/>
        <w:ind w:left="426"/>
        <w:rPr>
          <w:sz w:val="22"/>
          <w:lang w:eastAsia="en-US"/>
        </w:rPr>
      </w:pPr>
      <w:r w:rsidRPr="00F11F8C">
        <w:rPr>
          <w:b/>
          <w:bCs/>
          <w:sz w:val="22"/>
          <w:lang w:eastAsia="en-US"/>
        </w:rPr>
        <w:t xml:space="preserve">Niedostateczny (2,0) </w:t>
      </w:r>
      <w:r w:rsidRPr="00F11F8C">
        <w:rPr>
          <w:sz w:val="22"/>
          <w:lang w:eastAsia="en-US"/>
        </w:rPr>
        <w:t>– zakładane efekty uczenia się nie zostały uzyskane</w:t>
      </w:r>
    </w:p>
    <w:p w:rsidR="00AD0035" w:rsidRDefault="00AD0035" w:rsidP="00042BDD">
      <w:pPr>
        <w:spacing w:after="306" w:line="259" w:lineRule="auto"/>
        <w:ind w:left="426"/>
        <w:rPr>
          <w:sz w:val="22"/>
          <w:szCs w:val="22"/>
        </w:rPr>
      </w:pPr>
    </w:p>
    <w:p w:rsidR="00AD0035" w:rsidRDefault="00AD0035" w:rsidP="00AD0035">
      <w:pPr>
        <w:spacing w:after="5" w:line="254" w:lineRule="auto"/>
        <w:ind w:left="336" w:right="911"/>
      </w:pPr>
    </w:p>
    <w:p w:rsidR="00AD0035" w:rsidRPr="008003D6" w:rsidRDefault="00AD0035" w:rsidP="00AD0035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8003D6">
        <w:rPr>
          <w:rFonts w:eastAsia="Calibri"/>
          <w:b/>
          <w:sz w:val="28"/>
          <w:lang w:eastAsia="en-US"/>
        </w:rPr>
        <w:t>Karta przedmiotu</w:t>
      </w:r>
    </w:p>
    <w:p w:rsidR="00AD0035" w:rsidRPr="008003D6" w:rsidRDefault="00AD0035" w:rsidP="00AD0035">
      <w:pPr>
        <w:spacing w:after="160" w:line="259" w:lineRule="auto"/>
        <w:jc w:val="center"/>
        <w:rPr>
          <w:rFonts w:eastAsia="Calibri"/>
          <w:b/>
          <w:sz w:val="28"/>
          <w:lang w:eastAsia="en-US"/>
        </w:rPr>
      </w:pPr>
      <w:r w:rsidRPr="008003D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D0035" w:rsidRPr="008003D6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auto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8003D6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8003D6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AD0035" w:rsidRPr="008003D6" w:rsidRDefault="00AD0035" w:rsidP="002B013F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Zakład Balneoklimatologii i Odnowy Biologicznej Katedry Fizjoterapii SUM w Katowicach, </w:t>
            </w:r>
          </w:p>
          <w:p w:rsidR="00AD0035" w:rsidRPr="008003D6" w:rsidRDefault="00AD0035" w:rsidP="002B013F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ul. Medyków 12, 40-752 Katowice, </w:t>
            </w:r>
          </w:p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jtiffert-tlok@sum.edu.pl, tnowacki@sum.edu.pl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auto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AD0035" w:rsidRPr="008003D6" w:rsidRDefault="00AD0035" w:rsidP="002B013F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mgr </w:t>
            </w:r>
            <w:r>
              <w:rPr>
                <w:rFonts w:eastAsia="Calibri"/>
                <w:sz w:val="22"/>
                <w:lang w:eastAsia="en-US"/>
              </w:rPr>
              <w:t xml:space="preserve">Tomasz Nowacki/mgr Joanna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Tiffert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-Tłok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auto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AD0035" w:rsidRPr="008003D6" w:rsidRDefault="00AD0035" w:rsidP="002B013F">
            <w:pPr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Posiadanie wiedzy w zakresie anatomii, biomechaniki,  fizjologii i patologii ogólnej. Posiadanie wiedzy i umiejętności z zakresu  klinicznych podstaw fizjoterapii w medycynie sportowej.</w:t>
            </w:r>
          </w:p>
        </w:tc>
      </w:tr>
      <w:tr w:rsidR="00AD0035" w:rsidRPr="008003D6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D0035" w:rsidRPr="008003D6" w:rsidRDefault="00AD0035" w:rsidP="002B013F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D0035" w:rsidRPr="008003D6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D0035" w:rsidRPr="008003D6" w:rsidRDefault="00AD0035" w:rsidP="002B013F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Prezentacje multimedialne</w:t>
            </w:r>
          </w:p>
        </w:tc>
      </w:tr>
      <w:tr w:rsidR="00AD0035" w:rsidRPr="008003D6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AD0035" w:rsidRPr="008003D6" w:rsidRDefault="00AD0035" w:rsidP="002B013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Zgodnie z harmonogramem</w:t>
            </w:r>
          </w:p>
        </w:tc>
      </w:tr>
      <w:tr w:rsidR="00AD0035" w:rsidRPr="008003D6" w:rsidTr="002B013F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D0035" w:rsidRPr="008003D6" w:rsidRDefault="00AD0035" w:rsidP="002B013F">
            <w:pPr>
              <w:rPr>
                <w:rFonts w:eastAsia="Calibri"/>
                <w:lang w:eastAsia="en-US"/>
              </w:rPr>
            </w:pPr>
            <w:r>
              <w:t>Zgodnie z harmonogramem Zakładu</w:t>
            </w:r>
            <w:r>
              <w:rPr>
                <w:rFonts w:eastAsia="Calibri"/>
                <w:sz w:val="22"/>
                <w:lang w:eastAsia="en-US"/>
              </w:rPr>
              <w:t xml:space="preserve">- </w:t>
            </w:r>
            <w:r w:rsidRPr="008003D6">
              <w:rPr>
                <w:rFonts w:eastAsia="Calibri"/>
                <w:sz w:val="22"/>
                <w:lang w:eastAsia="en-US"/>
              </w:rPr>
              <w:t>Pok. 513</w:t>
            </w:r>
            <w:r>
              <w:rPr>
                <w:rFonts w:eastAsia="Calibri"/>
                <w:sz w:val="22"/>
                <w:lang w:eastAsia="en-US"/>
              </w:rPr>
              <w:t>,V piętro,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D9D9D9" w:themeFill="background1" w:themeFillShade="D9"/>
            <w:vAlign w:val="center"/>
          </w:tcPr>
          <w:p w:rsidR="00AD0035" w:rsidRPr="008003D6" w:rsidRDefault="00AD0035" w:rsidP="002B013F">
            <w:pPr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8003D6" w:rsidRDefault="00AD0035" w:rsidP="002B013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D0035" w:rsidRPr="008003D6" w:rsidRDefault="00AD0035" w:rsidP="002B013F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8003D6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003D6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003D6">
              <w:rPr>
                <w:rFonts w:eastAsia="Calibri"/>
                <w:sz w:val="22"/>
                <w:lang w:eastAsia="en-US"/>
              </w:rPr>
              <w:t xml:space="preserve">: </w:t>
            </w:r>
            <w:r w:rsidRPr="008003D6">
              <w:rPr>
                <w:rFonts w:eastAsia="Calibri"/>
                <w:sz w:val="22"/>
                <w:u w:val="single"/>
                <w:lang w:eastAsia="en-US"/>
              </w:rPr>
              <w:t xml:space="preserve">standardach kształcenia/ </w:t>
            </w:r>
            <w:bookmarkStart w:id="0" w:name="_GoBack"/>
            <w:r w:rsidRPr="00AD0035">
              <w:rPr>
                <w:rFonts w:eastAsia="Calibri"/>
                <w:sz w:val="22"/>
                <w:lang w:eastAsia="en-US"/>
              </w:rPr>
              <w:t>zatwierdzonych przez Senat SUM</w:t>
            </w:r>
            <w:bookmarkEnd w:id="0"/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Zna i rozumie: etiologię, patomechanizm, objawy, przebieg </w:t>
            </w:r>
          </w:p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i sposoby leczenia najczęstszych dysfunkcji narządu ruchu </w:t>
            </w:r>
          </w:p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D.W1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Zna i rozumie zasady i sposoby  leczenia ze szczególnym uwzględnieniem zastosowania środków fizjoterapii</w:t>
            </w:r>
            <w:r w:rsidRPr="00D97841">
              <w:rPr>
                <w:rFonts w:eastAsia="Calibri"/>
                <w:sz w:val="22"/>
                <w:szCs w:val="22"/>
                <w:lang w:eastAsia="en-US"/>
              </w:rPr>
              <w:br/>
              <w:t>w dysfunkcjach narządu ruchu 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D.W2</w:t>
            </w:r>
          </w:p>
        </w:tc>
      </w:tr>
      <w:tr w:rsidR="00AD0035" w:rsidRPr="008003D6" w:rsidTr="002B013F">
        <w:trPr>
          <w:trHeight w:val="360"/>
        </w:trPr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przeprowadzić szczegółowe badanie dla potrzeb fizjoterapii i testy funkcjonalne układu ruchu oraz zapisać</w:t>
            </w:r>
            <w:r w:rsidRPr="00D97841">
              <w:rPr>
                <w:rFonts w:eastAsia="Calibri"/>
                <w:sz w:val="22"/>
                <w:szCs w:val="22"/>
                <w:lang w:eastAsia="en-US"/>
              </w:rPr>
              <w:br/>
              <w:t>i zinterpretować jego wyniki w celu zaplanowania treningu medycznego w tym możliwego do przeprowadzenia 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D.U1</w:t>
            </w:r>
          </w:p>
        </w:tc>
      </w:tr>
      <w:tr w:rsidR="00AD0035" w:rsidRPr="008003D6" w:rsidTr="002B013F">
        <w:trPr>
          <w:trHeight w:val="360"/>
        </w:trPr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 xml:space="preserve">Potrafi dobierać (w zależności od stanu klinicznego </w:t>
            </w:r>
          </w:p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i funkcjonalnego pacjenta) i wykonywać zabiegi z zakresu fizjoterapii u osób po urazach sportowych ze szczególnym uwzględnieniem wykorzystania przedmiotów użytku codziennego w celach terapeutycznych.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D.U4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przeprowadzić analizę biomechaniczną z zakresu ruchów człowieka w warunkach prawidłowych i w dysfunkcjach układu ruchu oraz przeprowadzić zabiegi z zakresu fizjoterapii przed i pooperacyjnych w zakresie medycyny sportowej.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D.U6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Potrafi dokonać oceny stanu układu ruchu człowieka w warunkach statyki i dynamiki (badanie ogólne, odcinkowe, miejscowe) oraz zinterpretować uzyskane wyniki na potrzeby treningu medycznego z instruktażem dla pacjenta w zakresie treningu medycznego i wyrobów medycznych w warunkach domowych.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D.U7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t>Nawiązuje i utrzymuje pełny szacunku kontakt z pacjentem, a także okazuje zrozumienie dla różnic światopoglądowych i kulturowych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OK_K01</w:t>
            </w:r>
          </w:p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D0035" w:rsidRPr="008003D6" w:rsidTr="002B013F">
        <w:trPr>
          <w:trHeight w:val="661"/>
        </w:trPr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lastRenderedPageBreak/>
              <w:t>P_K02</w:t>
            </w:r>
          </w:p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Dostrzega i rozpoznaje własne ograniczenia, dokonuje samooceny deficytów i potrzeb edukacyjnych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OK_K05</w:t>
            </w:r>
          </w:p>
          <w:p w:rsidR="00AD0035" w:rsidRPr="00D97841" w:rsidRDefault="00AD0035" w:rsidP="002B013F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D0035" w:rsidRPr="008003D6" w:rsidTr="002B013F">
        <w:trPr>
          <w:trHeight w:val="453"/>
        </w:trPr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Korzysta z obiektywnych źródeł informacji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OK_K06</w:t>
            </w:r>
          </w:p>
        </w:tc>
      </w:tr>
      <w:tr w:rsidR="00AD0035" w:rsidRPr="008003D6" w:rsidTr="002B013F">
        <w:trPr>
          <w:trHeight w:val="409"/>
        </w:trPr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P_K04</w:t>
            </w:r>
          </w:p>
          <w:p w:rsidR="00AD0035" w:rsidRPr="00D97841" w:rsidRDefault="00AD0035" w:rsidP="002B013F">
            <w:pPr>
              <w:rPr>
                <w:rFonts w:eastAsia="Calibri"/>
                <w:lang w:eastAsia="en-US"/>
              </w:rPr>
            </w:pP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Wdraża zasad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 xml:space="preserve">koleżeństwa zawodowego </w:t>
            </w:r>
            <w:r>
              <w:rPr>
                <w:rFonts w:eastAsia="Times New Roman"/>
                <w:sz w:val="22"/>
                <w:szCs w:val="22"/>
              </w:rPr>
              <w:t>i współpracy</w:t>
            </w:r>
            <w:r>
              <w:rPr>
                <w:rFonts w:eastAsia="Times New Roman"/>
                <w:sz w:val="22"/>
                <w:szCs w:val="22"/>
              </w:rPr>
              <w:br/>
            </w:r>
            <w:r w:rsidRPr="00D97841">
              <w:rPr>
                <w:rFonts w:eastAsia="Times New Roman"/>
                <w:sz w:val="22"/>
                <w:szCs w:val="22"/>
              </w:rPr>
              <w:t xml:space="preserve">w zespole specjalistów, w tym z </w:t>
            </w:r>
            <w:r>
              <w:rPr>
                <w:rFonts w:eastAsia="Times New Roman"/>
                <w:sz w:val="22"/>
                <w:szCs w:val="22"/>
              </w:rPr>
              <w:t xml:space="preserve">przedstawicielami innych </w:t>
            </w:r>
            <w:r w:rsidRPr="00D97841">
              <w:rPr>
                <w:rFonts w:eastAsia="Times New Roman"/>
                <w:sz w:val="22"/>
                <w:szCs w:val="22"/>
              </w:rPr>
              <w:t>zawodów medycznych, także w środowisku wielokulturowym i wielonarodowościowym.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OK_K07</w:t>
            </w:r>
          </w:p>
        </w:tc>
      </w:tr>
      <w:tr w:rsidR="00AD0035" w:rsidRPr="008003D6" w:rsidTr="002B013F">
        <w:tc>
          <w:tcPr>
            <w:tcW w:w="1778" w:type="dxa"/>
            <w:shd w:val="clear" w:color="auto" w:fill="auto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P_K05</w:t>
            </w:r>
          </w:p>
          <w:p w:rsidR="00AD0035" w:rsidRPr="00D97841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</w:p>
        </w:tc>
        <w:tc>
          <w:tcPr>
            <w:tcW w:w="5529" w:type="dxa"/>
            <w:gridSpan w:val="2"/>
            <w:shd w:val="clear" w:color="auto" w:fill="auto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rFonts w:eastAsia="Times New Roman"/>
                <w:sz w:val="22"/>
                <w:szCs w:val="22"/>
              </w:rPr>
              <w:t>Przyjmuje odpowiedzialność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 xml:space="preserve">związaną z decyzjami podejmowanymi w ramach działalności zawodowej, </w:t>
            </w:r>
            <w:r w:rsidRPr="00D97841">
              <w:rPr>
                <w:rFonts w:eastAsia="Times New Roman"/>
                <w:sz w:val="22"/>
                <w:szCs w:val="22"/>
              </w:rPr>
              <w:br/>
              <w:t>w tym</w:t>
            </w:r>
            <w:r w:rsidRPr="00D97841">
              <w:rPr>
                <w:rFonts w:eastAsia="Times New Roman"/>
                <w:sz w:val="22"/>
                <w:szCs w:val="22"/>
              </w:rPr>
              <w:tab/>
              <w:t>w kategoriach bezpieczeństwa własnego</w:t>
            </w:r>
            <w:r w:rsidRPr="00D97841">
              <w:rPr>
                <w:rFonts w:eastAsia="Times New Roman"/>
                <w:sz w:val="22"/>
                <w:szCs w:val="22"/>
              </w:rPr>
              <w:br/>
              <w:t>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AD0035" w:rsidRPr="00D97841" w:rsidRDefault="00AD0035" w:rsidP="002B013F">
            <w:pPr>
              <w:jc w:val="center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OK_K09</w:t>
            </w:r>
          </w:p>
        </w:tc>
      </w:tr>
      <w:tr w:rsidR="00AD0035" w:rsidRPr="008003D6" w:rsidTr="002B013F">
        <w:tc>
          <w:tcPr>
            <w:tcW w:w="8695" w:type="dxa"/>
            <w:gridSpan w:val="4"/>
            <w:shd w:val="clear" w:color="auto" w:fill="D9D9D9" w:themeFill="background1" w:themeFillShade="D9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:rsidR="00AD0035" w:rsidRPr="008003D6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D0035" w:rsidRPr="008003D6" w:rsidTr="002B013F">
        <w:trPr>
          <w:trHeight w:val="269"/>
        </w:trPr>
        <w:tc>
          <w:tcPr>
            <w:tcW w:w="8695" w:type="dxa"/>
            <w:gridSpan w:val="4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AD0035" w:rsidRPr="00857DA9" w:rsidRDefault="00AD0035" w:rsidP="002B013F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22</w:t>
            </w:r>
          </w:p>
        </w:tc>
      </w:tr>
      <w:tr w:rsidR="00AD0035" w:rsidRPr="008003D6" w:rsidTr="002B013F"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Badanie podmiotowe i przedmiotowe w fizjoterapii.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269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Ból – jako istotny element wielu chorób i dysfunkcji. 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22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Zaburzenia napięcia mięśniowego.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22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ind w:right="950" w:hanging="10"/>
              <w:jc w:val="both"/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Stan zapalny oraz obrzęki– podstawy teoretyczne oraz środki terapeutyczne stosowane w tych przypadkach klinicznych.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56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Urazy mięśniowe 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55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rPr>
                <w:b/>
              </w:rPr>
            </w:pPr>
            <w:r w:rsidRPr="00D97841">
              <w:rPr>
                <w:sz w:val="22"/>
                <w:szCs w:val="22"/>
              </w:rPr>
              <w:t>Urazy stawowe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</w:tr>
      <w:tr w:rsidR="00AD0035" w:rsidRPr="008003D6" w:rsidTr="002B013F">
        <w:trPr>
          <w:trHeight w:val="22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contextualSpacing/>
              <w:rPr>
                <w:rFonts w:eastAsia="Calibri"/>
                <w:b/>
                <w:lang w:eastAsia="en-US"/>
              </w:rPr>
            </w:pPr>
            <w:r w:rsidRPr="00D97841">
              <w:rPr>
                <w:sz w:val="22"/>
                <w:szCs w:val="22"/>
              </w:rPr>
              <w:t>Patologie ścięgien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AD0035" w:rsidRPr="008003D6" w:rsidTr="002B013F">
        <w:tc>
          <w:tcPr>
            <w:tcW w:w="8695" w:type="dxa"/>
            <w:gridSpan w:val="4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:rsidR="00AD0035" w:rsidRPr="00F62699" w:rsidRDefault="00AD0035" w:rsidP="002B013F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12</w:t>
            </w:r>
          </w:p>
        </w:tc>
      </w:tr>
      <w:tr w:rsidR="00AD0035" w:rsidRPr="008003D6" w:rsidTr="002B013F">
        <w:trPr>
          <w:trHeight w:val="720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1. Postepowanie terapeutyczne w oparciu o model </w:t>
            </w:r>
            <w:proofErr w:type="spellStart"/>
            <w:r w:rsidRPr="00D97841">
              <w:rPr>
                <w:sz w:val="22"/>
                <w:szCs w:val="22"/>
              </w:rPr>
              <w:t>EvidenceBasedMedicine</w:t>
            </w:r>
            <w:proofErr w:type="spellEnd"/>
            <w:r w:rsidRPr="00D97841">
              <w:rPr>
                <w:sz w:val="22"/>
                <w:szCs w:val="22"/>
              </w:rPr>
              <w:t xml:space="preserve"> w przypadku: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a)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mięśni stożka rotatorów b) Uszkodzenia stawu barkowo – obojczykowego w stopniu I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c) Przedniej niestabilności stawu ramiennego d) Zespołu łokcia tenisisty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e) Złamania kości łódeczkowatej – postępowanie pooperacyjne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f) Zespołu </w:t>
            </w:r>
            <w:proofErr w:type="spellStart"/>
            <w:r w:rsidRPr="00D97841">
              <w:rPr>
                <w:sz w:val="22"/>
                <w:szCs w:val="22"/>
              </w:rPr>
              <w:t>cieśni</w:t>
            </w:r>
            <w:proofErr w:type="spellEnd"/>
            <w:r w:rsidRPr="00D97841">
              <w:rPr>
                <w:sz w:val="22"/>
                <w:szCs w:val="22"/>
              </w:rPr>
              <w:t xml:space="preserve"> nadgarstka – leczenie zachowawcze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g) Inwersyjnego skręcenia stawu skokowego w stopniu I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h) Zapalenia rozcięgna podeszwowego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i) Zespołu </w:t>
            </w:r>
            <w:proofErr w:type="spellStart"/>
            <w:r w:rsidRPr="00D97841">
              <w:rPr>
                <w:sz w:val="22"/>
                <w:szCs w:val="22"/>
              </w:rPr>
              <w:t>ShinSplint</w:t>
            </w:r>
            <w:proofErr w:type="spellEnd"/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>j) Zespołu kolana biegacza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k) Zespołu kolana skoczka </w:t>
            </w:r>
          </w:p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>l) Zespołu trzaskającego biodra (trzy typy)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AD0035" w:rsidRPr="008003D6" w:rsidTr="002B013F">
        <w:trPr>
          <w:trHeight w:val="3665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2. Postepowanie terapeutyczne w oparciu o model </w:t>
            </w:r>
            <w:proofErr w:type="spellStart"/>
            <w:r w:rsidRPr="00D97841">
              <w:rPr>
                <w:sz w:val="22"/>
                <w:szCs w:val="22"/>
              </w:rPr>
              <w:t>EvidenceBasedMedicine</w:t>
            </w:r>
            <w:proofErr w:type="spellEnd"/>
            <w:r w:rsidRPr="00D97841">
              <w:rPr>
                <w:sz w:val="22"/>
                <w:szCs w:val="22"/>
              </w:rPr>
              <w:t xml:space="preserve"> w przypadku: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a) Uszkodzeniu obrąbka typu SLAP w stopniu I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b)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głowy długiej ścięgna bicepsa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c) Zespołu łokcia golfisty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d) Zespołu </w:t>
            </w:r>
            <w:proofErr w:type="spellStart"/>
            <w:r w:rsidRPr="00D97841">
              <w:rPr>
                <w:sz w:val="22"/>
                <w:szCs w:val="22"/>
              </w:rPr>
              <w:t>cieśni</w:t>
            </w:r>
            <w:proofErr w:type="spellEnd"/>
            <w:r w:rsidRPr="00D97841">
              <w:rPr>
                <w:sz w:val="22"/>
                <w:szCs w:val="22"/>
              </w:rPr>
              <w:t xml:space="preserve"> nadgarstka – postepowanie pooperacyjne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e) Urazu chrząstki trójkątnej – leczenie zachowawcze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f) Urazu chrząstki trójkątnej – leczenie pooperacyjne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g)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mięśni pośladkowych (zapalenie kaletki </w:t>
            </w:r>
            <w:proofErr w:type="spellStart"/>
            <w:r w:rsidRPr="00D97841">
              <w:rPr>
                <w:sz w:val="22"/>
                <w:szCs w:val="22"/>
              </w:rPr>
              <w:t>krętarzowej</w:t>
            </w:r>
            <w:proofErr w:type="spellEnd"/>
            <w:r w:rsidRPr="00D97841">
              <w:rPr>
                <w:sz w:val="22"/>
                <w:szCs w:val="22"/>
              </w:rPr>
              <w:t xml:space="preserve">)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h) Zespołu przeciążeniowego mięśni przywodzicieli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i)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przyczepu bliższego mięśni kulszowo – goleniowych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j) Uszkodzenia mięśnia dwugłowego uda w stopniu II k) </w:t>
            </w:r>
            <w:proofErr w:type="spellStart"/>
            <w:r w:rsidRPr="00D97841">
              <w:rPr>
                <w:sz w:val="22"/>
                <w:szCs w:val="22"/>
              </w:rPr>
              <w:t>Tendinopatii</w:t>
            </w:r>
            <w:proofErr w:type="spellEnd"/>
            <w:r w:rsidRPr="00D97841">
              <w:rPr>
                <w:sz w:val="22"/>
                <w:szCs w:val="22"/>
              </w:rPr>
              <w:t xml:space="preserve"> ścięgna Achillesa l) Inwersyjnego skręcenia stawu skokowego w stopniu II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AD0035" w:rsidRPr="008003D6" w:rsidTr="002B013F">
        <w:tc>
          <w:tcPr>
            <w:tcW w:w="8695" w:type="dxa"/>
            <w:gridSpan w:val="4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21.3. </w:t>
            </w:r>
            <w:r>
              <w:rPr>
                <w:rFonts w:eastAsia="Calibri"/>
                <w:b/>
                <w:sz w:val="22"/>
                <w:lang w:eastAsia="en-US"/>
              </w:rPr>
              <w:t xml:space="preserve">Zajęcia </w:t>
            </w:r>
            <w:proofErr w:type="spellStart"/>
            <w:r>
              <w:rPr>
                <w:rFonts w:eastAsia="Calibri"/>
                <w:b/>
                <w:sz w:val="22"/>
                <w:lang w:eastAsia="en-US"/>
              </w:rPr>
              <w:t>prakyczne</w:t>
            </w:r>
            <w:proofErr w:type="spellEnd"/>
          </w:p>
        </w:tc>
        <w:tc>
          <w:tcPr>
            <w:tcW w:w="1053" w:type="dxa"/>
            <w:vAlign w:val="center"/>
          </w:tcPr>
          <w:p w:rsidR="00AD0035" w:rsidRPr="008003D6" w:rsidRDefault="00AD0035" w:rsidP="002B013F">
            <w:pPr>
              <w:ind w:left="57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36</w:t>
            </w:r>
          </w:p>
        </w:tc>
      </w:tr>
      <w:tr w:rsidR="00AD0035" w:rsidRPr="008003D6" w:rsidTr="002B013F">
        <w:trPr>
          <w:trHeight w:val="183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</w:rPr>
              <w:t xml:space="preserve">1. Fizjoterapeutyczne badanie podmiotowe i przedmiotowe w obrębie kończyny górnej. Diagnostyka najczęstszych urazów sportowych w obrębie kończyny górnej. 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AD0035" w:rsidRPr="008003D6" w:rsidTr="002B013F">
        <w:trPr>
          <w:trHeight w:val="179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2. Fizjoterapeutyczne badanie podmiotowe i przedmiotowe w obrębie kończyny dolnej. Diagnostyka najczęstszych urazów sportowych w obrębie kończyny dolnej. 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AD0035" w:rsidRPr="008003D6" w:rsidTr="002B013F">
        <w:trPr>
          <w:trHeight w:val="179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3. Fizjoterapeutyczne badanie podmiotowe i przedmiotowe w obrębie kręgosłupa lędźwiowego i miednicy. Diagnostyka najczęstszych urazów sportowych w obrębie kręgosłupa lędźwiowego i miednicy.  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AD0035" w:rsidRPr="008003D6" w:rsidTr="002B013F">
        <w:trPr>
          <w:trHeight w:val="647"/>
        </w:trPr>
        <w:tc>
          <w:tcPr>
            <w:tcW w:w="8695" w:type="dxa"/>
            <w:gridSpan w:val="4"/>
            <w:vAlign w:val="center"/>
          </w:tcPr>
          <w:p w:rsidR="00AD0035" w:rsidRPr="00D97841" w:rsidRDefault="00AD0035" w:rsidP="002B013F">
            <w:r w:rsidRPr="00D97841">
              <w:rPr>
                <w:sz w:val="22"/>
                <w:szCs w:val="22"/>
              </w:rPr>
              <w:lastRenderedPageBreak/>
              <w:t>4. Fizjoterapeutyczne badanie podmiotowe i przedmiotowe w obrębie kręgosłupa szyjnego i piersiowego. Diagnostyka najczęstszych urazów sportowych w obrębie kręgosłupa szyjnego i piersiowego.</w:t>
            </w:r>
          </w:p>
        </w:tc>
        <w:tc>
          <w:tcPr>
            <w:tcW w:w="1053" w:type="dxa"/>
            <w:vAlign w:val="center"/>
          </w:tcPr>
          <w:p w:rsidR="00AD0035" w:rsidRPr="00D97841" w:rsidRDefault="00AD0035" w:rsidP="002B013F">
            <w:pPr>
              <w:ind w:left="57"/>
              <w:jc w:val="center"/>
              <w:rPr>
                <w:rFonts w:eastAsia="Calibri"/>
                <w:lang w:eastAsia="en-US"/>
              </w:rPr>
            </w:pPr>
            <w:r w:rsidRPr="00D97841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AD0035" w:rsidRPr="008003D6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D0035" w:rsidRPr="008003D6" w:rsidRDefault="00AD0035" w:rsidP="002B013F">
            <w:pPr>
              <w:ind w:left="57"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auto"/>
            <w:vAlign w:val="center"/>
          </w:tcPr>
          <w:p w:rsidR="00AD0035" w:rsidRPr="00D97841" w:rsidRDefault="00AD0035" w:rsidP="002B013F">
            <w:r w:rsidRPr="4CACB3EC">
              <w:rPr>
                <w:sz w:val="22"/>
                <w:szCs w:val="22"/>
              </w:rPr>
              <w:t xml:space="preserve">1. Kujawa J (red. Wydania polskiego),Badanie układu mięśniowo-szkieletowego. PZWL, Warszawa 2011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2. N. J. </w:t>
            </w:r>
            <w:proofErr w:type="spellStart"/>
            <w:r w:rsidRPr="00D97841">
              <w:rPr>
                <w:sz w:val="22"/>
                <w:szCs w:val="22"/>
              </w:rPr>
              <w:t>Petty</w:t>
            </w:r>
            <w:proofErr w:type="spellEnd"/>
            <w:r w:rsidRPr="00D97841">
              <w:rPr>
                <w:sz w:val="22"/>
                <w:szCs w:val="22"/>
              </w:rPr>
              <w:t xml:space="preserve">, Z. Śliwiński (red. wydania polskiego): Badanie i ocena narządu ruchu. Podręcznik dla fizjoterapeutów. </w:t>
            </w:r>
            <w:proofErr w:type="spellStart"/>
            <w:r w:rsidRPr="00D97841">
              <w:rPr>
                <w:sz w:val="22"/>
                <w:szCs w:val="22"/>
              </w:rPr>
              <w:t>Elsevier</w:t>
            </w:r>
            <w:proofErr w:type="spellEnd"/>
            <w:r w:rsidRPr="00D97841">
              <w:rPr>
                <w:sz w:val="22"/>
                <w:szCs w:val="22"/>
              </w:rPr>
              <w:t xml:space="preserve"> Urban &amp; Partner, Wrocław 2006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3. J. </w:t>
            </w:r>
            <w:proofErr w:type="spellStart"/>
            <w:r w:rsidRPr="00D97841">
              <w:rPr>
                <w:sz w:val="22"/>
                <w:szCs w:val="22"/>
              </w:rPr>
              <w:t>Strong</w:t>
            </w:r>
            <w:proofErr w:type="spellEnd"/>
            <w:r w:rsidRPr="00D97841">
              <w:rPr>
                <w:sz w:val="22"/>
                <w:szCs w:val="22"/>
              </w:rPr>
              <w:t xml:space="preserve"> , A. </w:t>
            </w:r>
            <w:proofErr w:type="spellStart"/>
            <w:r w:rsidRPr="00D97841">
              <w:rPr>
                <w:sz w:val="22"/>
                <w:szCs w:val="22"/>
              </w:rPr>
              <w:t>Unruh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A.Wright</w:t>
            </w:r>
            <w:proofErr w:type="spellEnd"/>
            <w:r w:rsidRPr="00D97841">
              <w:rPr>
                <w:sz w:val="22"/>
                <w:szCs w:val="22"/>
              </w:rPr>
              <w:t xml:space="preserve">, G. Baxter : Ból – Podręcznik dla Terapeutów, tłumaczenie 2008 4. C. </w:t>
            </w:r>
            <w:proofErr w:type="spellStart"/>
            <w:r w:rsidRPr="00D97841">
              <w:rPr>
                <w:sz w:val="22"/>
                <w:szCs w:val="22"/>
              </w:rPr>
              <w:t>Norrbrink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B.Molin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T.Lundeberg</w:t>
            </w:r>
            <w:proofErr w:type="spellEnd"/>
            <w:r w:rsidRPr="00D97841">
              <w:rPr>
                <w:sz w:val="22"/>
                <w:szCs w:val="22"/>
              </w:rPr>
              <w:t xml:space="preserve"> Ból z </w:t>
            </w:r>
            <w:proofErr w:type="spellStart"/>
            <w:r w:rsidRPr="00D97841">
              <w:rPr>
                <w:sz w:val="22"/>
                <w:szCs w:val="22"/>
              </w:rPr>
              <w:t>respektywy</w:t>
            </w:r>
            <w:proofErr w:type="spellEnd"/>
            <w:r w:rsidRPr="00D97841">
              <w:rPr>
                <w:sz w:val="22"/>
                <w:szCs w:val="22"/>
              </w:rPr>
              <w:t xml:space="preserve"> fizjologii Exemplum, Poznań 2013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5. W. </w:t>
            </w:r>
            <w:proofErr w:type="spellStart"/>
            <w:r w:rsidRPr="00D97841">
              <w:rPr>
                <w:sz w:val="22"/>
                <w:szCs w:val="22"/>
              </w:rPr>
              <w:t>Leppert</w:t>
            </w:r>
            <w:proofErr w:type="spellEnd"/>
            <w:r w:rsidRPr="00D97841">
              <w:rPr>
                <w:sz w:val="22"/>
                <w:szCs w:val="22"/>
              </w:rPr>
              <w:t xml:space="preserve">, M. </w:t>
            </w:r>
            <w:proofErr w:type="spellStart"/>
            <w:r w:rsidRPr="00D97841">
              <w:rPr>
                <w:sz w:val="22"/>
                <w:szCs w:val="22"/>
              </w:rPr>
              <w:t>Majkowicz</w:t>
            </w:r>
            <w:proofErr w:type="spellEnd"/>
            <w:r w:rsidRPr="00D97841">
              <w:rPr>
                <w:sz w:val="22"/>
                <w:szCs w:val="22"/>
              </w:rPr>
              <w:t xml:space="preserve"> Ból przewlekły. Ujęcie kliniczne i psychologiczne PZWL, Warszawa 2018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6. S. </w:t>
            </w:r>
            <w:proofErr w:type="spellStart"/>
            <w:r w:rsidRPr="00D97841">
              <w:rPr>
                <w:sz w:val="22"/>
                <w:szCs w:val="22"/>
              </w:rPr>
              <w:t>Silbernagl</w:t>
            </w:r>
            <w:proofErr w:type="spellEnd"/>
            <w:r w:rsidRPr="00D97841">
              <w:rPr>
                <w:sz w:val="22"/>
                <w:szCs w:val="22"/>
              </w:rPr>
              <w:t xml:space="preserve">, F. Lang Atlas patofizjologii </w:t>
            </w:r>
            <w:proofErr w:type="spellStart"/>
            <w:r w:rsidRPr="00D97841">
              <w:rPr>
                <w:sz w:val="22"/>
                <w:szCs w:val="22"/>
              </w:rPr>
              <w:t>MedPharm</w:t>
            </w:r>
            <w:proofErr w:type="spellEnd"/>
            <w:r w:rsidRPr="00D97841">
              <w:rPr>
                <w:sz w:val="22"/>
                <w:szCs w:val="22"/>
              </w:rPr>
              <w:t xml:space="preserve">, Wrocław 2011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7. S. </w:t>
            </w:r>
            <w:proofErr w:type="spellStart"/>
            <w:r w:rsidRPr="00D97841">
              <w:rPr>
                <w:sz w:val="22"/>
                <w:szCs w:val="22"/>
              </w:rPr>
              <w:t>Maśliński</w:t>
            </w:r>
            <w:proofErr w:type="spellEnd"/>
            <w:r w:rsidRPr="00D97841">
              <w:rPr>
                <w:sz w:val="22"/>
                <w:szCs w:val="22"/>
              </w:rPr>
              <w:t xml:space="preserve">, J. </w:t>
            </w:r>
            <w:proofErr w:type="spellStart"/>
            <w:r w:rsidRPr="00D97841">
              <w:rPr>
                <w:sz w:val="22"/>
                <w:szCs w:val="22"/>
              </w:rPr>
              <w:t>Ryżewski</w:t>
            </w:r>
            <w:proofErr w:type="spellEnd"/>
            <w:r w:rsidRPr="00D97841">
              <w:rPr>
                <w:sz w:val="22"/>
                <w:szCs w:val="22"/>
              </w:rPr>
              <w:t xml:space="preserve"> Patofizjologia t. 1 i 2 Podręcznik dla studentów medycyny PZWL, Warszawa 2014 </w:t>
            </w:r>
          </w:p>
          <w:p w:rsidR="00AD0035" w:rsidRPr="00D97841" w:rsidRDefault="00AD0035" w:rsidP="002B013F">
            <w:r w:rsidRPr="00D97841">
              <w:rPr>
                <w:sz w:val="22"/>
                <w:szCs w:val="22"/>
              </w:rPr>
              <w:t xml:space="preserve">8. </w:t>
            </w:r>
            <w:proofErr w:type="spellStart"/>
            <w:r w:rsidRPr="00D97841">
              <w:rPr>
                <w:sz w:val="22"/>
                <w:szCs w:val="22"/>
              </w:rPr>
              <w:t>GodmanSnyder</w:t>
            </w:r>
            <w:proofErr w:type="spellEnd"/>
            <w:r w:rsidRPr="00D97841">
              <w:rPr>
                <w:sz w:val="22"/>
                <w:szCs w:val="22"/>
              </w:rPr>
              <w:t xml:space="preserve">: Diagnostyka różnicowa dla fizjoterapeutów, DB Publishing, Warszawa 2019 9. P. </w:t>
            </w:r>
            <w:proofErr w:type="spellStart"/>
            <w:r w:rsidRPr="00D97841">
              <w:rPr>
                <w:sz w:val="22"/>
                <w:szCs w:val="22"/>
              </w:rPr>
              <w:t>Brukner</w:t>
            </w:r>
            <w:proofErr w:type="spellEnd"/>
            <w:r w:rsidRPr="00D97841">
              <w:rPr>
                <w:sz w:val="22"/>
                <w:szCs w:val="22"/>
              </w:rPr>
              <w:t xml:space="preserve">, </w:t>
            </w:r>
            <w:proofErr w:type="spellStart"/>
            <w:r w:rsidRPr="00D97841">
              <w:rPr>
                <w:sz w:val="22"/>
                <w:szCs w:val="22"/>
              </w:rPr>
              <w:t>K.Khan</w:t>
            </w:r>
            <w:proofErr w:type="spellEnd"/>
            <w:r w:rsidRPr="00D97841">
              <w:rPr>
                <w:sz w:val="22"/>
                <w:szCs w:val="22"/>
              </w:rPr>
              <w:t xml:space="preserve"> Kliniczna Medycyna Sportowa DB Publishing, Warszawa 2009</w:t>
            </w:r>
          </w:p>
          <w:p w:rsidR="00AD0035" w:rsidRPr="00D97841" w:rsidRDefault="00AD0035" w:rsidP="002B013F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10. C. Cook, E.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Hegedus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Orthopedic Physical Examination Tests: An Evidence-Based Approach Pearson Education Limited 2014 </w:t>
            </w:r>
          </w:p>
          <w:p w:rsidR="00AD0035" w:rsidRPr="00D97841" w:rsidRDefault="00AD0035" w:rsidP="002B013F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11. F.H. Netter Atlas of Human Anatomy 7th Edition Elsevier </w:t>
            </w:r>
          </w:p>
          <w:p w:rsidR="00AD0035" w:rsidRPr="00D97841" w:rsidRDefault="00AD0035" w:rsidP="002B013F">
            <w:pPr>
              <w:rPr>
                <w:lang w:val="en-US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12. C.A.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Oatis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Kinesiology. The Mechanics and </w:t>
            </w:r>
            <w:proofErr w:type="spellStart"/>
            <w:r w:rsidRPr="00D97841">
              <w:rPr>
                <w:sz w:val="22"/>
                <w:szCs w:val="22"/>
                <w:lang w:val="en-US"/>
              </w:rPr>
              <w:t>Patomechanics</w:t>
            </w:r>
            <w:proofErr w:type="spellEnd"/>
            <w:r w:rsidRPr="00D97841">
              <w:rPr>
                <w:sz w:val="22"/>
                <w:szCs w:val="22"/>
                <w:lang w:val="en-US"/>
              </w:rPr>
              <w:t xml:space="preserve"> of Human Body Wolters Kluwer 2017 </w:t>
            </w:r>
          </w:p>
          <w:p w:rsidR="00AD0035" w:rsidRPr="00857DA9" w:rsidRDefault="00AD0035" w:rsidP="002B013F">
            <w:pPr>
              <w:rPr>
                <w:rFonts w:eastAsia="Times New Roman"/>
              </w:rPr>
            </w:pPr>
            <w:r w:rsidRPr="00D97841">
              <w:rPr>
                <w:sz w:val="22"/>
                <w:szCs w:val="22"/>
                <w:lang w:val="en-US"/>
              </w:rPr>
              <w:t xml:space="preserve">13. F.H. Netter Netter’s Sports Medicine Elsevier 2017 14. </w:t>
            </w:r>
            <w:r w:rsidRPr="00D97841">
              <w:rPr>
                <w:sz w:val="22"/>
                <w:szCs w:val="22"/>
              </w:rPr>
              <w:t xml:space="preserve">R. Donatelli Rehabilitacja w sporcie. </w:t>
            </w:r>
            <w:proofErr w:type="spellStart"/>
            <w:r w:rsidRPr="00D97841">
              <w:rPr>
                <w:sz w:val="22"/>
                <w:szCs w:val="22"/>
              </w:rPr>
              <w:t>Edra</w:t>
            </w:r>
            <w:proofErr w:type="spellEnd"/>
            <w:r w:rsidRPr="00D97841">
              <w:rPr>
                <w:sz w:val="22"/>
                <w:szCs w:val="22"/>
              </w:rPr>
              <w:t xml:space="preserve"> Urban &amp; Partner 2017</w:t>
            </w:r>
          </w:p>
        </w:tc>
      </w:tr>
      <w:tr w:rsidR="00AD0035" w:rsidRPr="008003D6" w:rsidTr="002B013F">
        <w:tc>
          <w:tcPr>
            <w:tcW w:w="9748" w:type="dxa"/>
            <w:gridSpan w:val="5"/>
            <w:shd w:val="clear" w:color="auto" w:fill="BFBFBF" w:themeFill="background1" w:themeFillShade="BF"/>
            <w:vAlign w:val="center"/>
          </w:tcPr>
          <w:p w:rsidR="00AD0035" w:rsidRPr="008003D6" w:rsidRDefault="00AD0035" w:rsidP="002B013F">
            <w:pPr>
              <w:ind w:left="57"/>
              <w:rPr>
                <w:rFonts w:eastAsia="Calibri"/>
                <w:b/>
                <w:lang w:eastAsia="en-US"/>
              </w:rPr>
            </w:pPr>
            <w:r w:rsidRPr="008003D6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D0035" w:rsidRPr="008003D6" w:rsidTr="002B013F">
        <w:tc>
          <w:tcPr>
            <w:tcW w:w="9748" w:type="dxa"/>
            <w:gridSpan w:val="5"/>
            <w:vAlign w:val="center"/>
          </w:tcPr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AD0035" w:rsidRPr="008003D6" w:rsidRDefault="00AD0035" w:rsidP="002B013F">
            <w:pPr>
              <w:ind w:left="57"/>
              <w:contextualSpacing/>
              <w:rPr>
                <w:rFonts w:eastAsia="Calibri"/>
                <w:lang w:eastAsia="en-US"/>
              </w:rPr>
            </w:pPr>
            <w:r w:rsidRPr="008003D6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D0035" w:rsidRPr="008003D6" w:rsidRDefault="00AD0035" w:rsidP="00AD0035">
      <w:pPr>
        <w:spacing w:after="160" w:line="259" w:lineRule="auto"/>
        <w:rPr>
          <w:rFonts w:eastAsia="Calibri"/>
          <w:sz w:val="22"/>
          <w:lang w:eastAsia="en-US"/>
        </w:rPr>
      </w:pPr>
    </w:p>
    <w:p w:rsidR="00AD0035" w:rsidRPr="008003D6" w:rsidRDefault="00AD0035" w:rsidP="00AD0035">
      <w:pPr>
        <w:spacing w:after="160" w:line="259" w:lineRule="auto"/>
        <w:rPr>
          <w:rFonts w:eastAsia="Calibri"/>
          <w:i/>
          <w:iCs/>
          <w:sz w:val="22"/>
          <w:lang w:eastAsia="en-US"/>
        </w:rPr>
      </w:pPr>
    </w:p>
    <w:p w:rsidR="00AD0035" w:rsidRPr="0079274E" w:rsidRDefault="00AD0035" w:rsidP="00AD0035">
      <w:pPr>
        <w:spacing w:after="5" w:line="254" w:lineRule="auto"/>
        <w:ind w:left="336" w:right="911"/>
      </w:pPr>
    </w:p>
    <w:p w:rsidR="00AD0035" w:rsidRPr="00042BDD" w:rsidRDefault="00AD0035" w:rsidP="00042BDD">
      <w:pPr>
        <w:spacing w:after="306" w:line="259" w:lineRule="auto"/>
        <w:ind w:left="426"/>
        <w:rPr>
          <w:sz w:val="22"/>
          <w:szCs w:val="22"/>
        </w:rPr>
      </w:pPr>
    </w:p>
    <w:sectPr w:rsidR="00AD0035" w:rsidRPr="00042BDD" w:rsidSect="00042BDD">
      <w:footerReference w:type="even" r:id="rId7"/>
      <w:footerReference w:type="default" r:id="rId8"/>
      <w:footerReference w:type="first" r:id="rId9"/>
      <w:pgSz w:w="11906" w:h="16838"/>
      <w:pgMar w:top="993" w:right="99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368" w:rsidRDefault="00CF5368">
      <w:r>
        <w:separator/>
      </w:r>
    </w:p>
  </w:endnote>
  <w:endnote w:type="continuationSeparator" w:id="0">
    <w:p w:rsidR="00CF5368" w:rsidRDefault="00CF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76675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76675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D6E7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76675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368" w:rsidRDefault="00CF5368">
      <w:r>
        <w:separator/>
      </w:r>
    </w:p>
  </w:footnote>
  <w:footnote w:type="continuationSeparator" w:id="0">
    <w:p w:rsidR="00CF5368" w:rsidRDefault="00CF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7D344F"/>
    <w:multiLevelType w:val="hybridMultilevel"/>
    <w:tmpl w:val="0D4EC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ED654F"/>
    <w:multiLevelType w:val="hybridMultilevel"/>
    <w:tmpl w:val="86B8A9C8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6150041"/>
    <w:multiLevelType w:val="hybridMultilevel"/>
    <w:tmpl w:val="61A69B0A"/>
    <w:lvl w:ilvl="0" w:tplc="F26A51C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8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8"/>
  </w:num>
  <w:num w:numId="7">
    <w:abstractNumId w:val="20"/>
  </w:num>
  <w:num w:numId="8">
    <w:abstractNumId w:val="17"/>
  </w:num>
  <w:num w:numId="9">
    <w:abstractNumId w:val="14"/>
  </w:num>
  <w:num w:numId="10">
    <w:abstractNumId w:val="11"/>
  </w:num>
  <w:num w:numId="11">
    <w:abstractNumId w:val="7"/>
  </w:num>
  <w:num w:numId="12">
    <w:abstractNumId w:val="0"/>
  </w:num>
  <w:num w:numId="13">
    <w:abstractNumId w:val="21"/>
  </w:num>
  <w:num w:numId="14">
    <w:abstractNumId w:val="26"/>
  </w:num>
  <w:num w:numId="15">
    <w:abstractNumId w:val="15"/>
  </w:num>
  <w:num w:numId="16">
    <w:abstractNumId w:val="16"/>
  </w:num>
  <w:num w:numId="17">
    <w:abstractNumId w:val="27"/>
  </w:num>
  <w:num w:numId="18">
    <w:abstractNumId w:val="1"/>
  </w:num>
  <w:num w:numId="19">
    <w:abstractNumId w:val="23"/>
  </w:num>
  <w:num w:numId="20">
    <w:abstractNumId w:val="22"/>
  </w:num>
  <w:num w:numId="21">
    <w:abstractNumId w:val="28"/>
  </w:num>
  <w:num w:numId="22">
    <w:abstractNumId w:val="10"/>
  </w:num>
  <w:num w:numId="23">
    <w:abstractNumId w:val="5"/>
  </w:num>
  <w:num w:numId="24">
    <w:abstractNumId w:val="8"/>
  </w:num>
  <w:num w:numId="25">
    <w:abstractNumId w:val="25"/>
  </w:num>
  <w:num w:numId="26">
    <w:abstractNumId w:val="9"/>
  </w:num>
  <w:num w:numId="27">
    <w:abstractNumId w:val="19"/>
  </w:num>
  <w:num w:numId="28">
    <w:abstractNumId w:val="6"/>
  </w:num>
  <w:num w:numId="29">
    <w:abstractNumId w:val="2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42BDD"/>
    <w:rsid w:val="00052014"/>
    <w:rsid w:val="000D6E71"/>
    <w:rsid w:val="001349B7"/>
    <w:rsid w:val="001A76A8"/>
    <w:rsid w:val="001C2D0B"/>
    <w:rsid w:val="00276675"/>
    <w:rsid w:val="002E7D5A"/>
    <w:rsid w:val="00306823"/>
    <w:rsid w:val="00352F97"/>
    <w:rsid w:val="00493D41"/>
    <w:rsid w:val="004F7190"/>
    <w:rsid w:val="00562598"/>
    <w:rsid w:val="00591AF7"/>
    <w:rsid w:val="006032DF"/>
    <w:rsid w:val="006B4417"/>
    <w:rsid w:val="007037A7"/>
    <w:rsid w:val="00731C36"/>
    <w:rsid w:val="00736B27"/>
    <w:rsid w:val="0079274E"/>
    <w:rsid w:val="007D79A0"/>
    <w:rsid w:val="007F7458"/>
    <w:rsid w:val="008003D6"/>
    <w:rsid w:val="00801778"/>
    <w:rsid w:val="008050C4"/>
    <w:rsid w:val="00821AB5"/>
    <w:rsid w:val="0083497C"/>
    <w:rsid w:val="00857DA9"/>
    <w:rsid w:val="00897CB5"/>
    <w:rsid w:val="009129BD"/>
    <w:rsid w:val="009973E0"/>
    <w:rsid w:val="009F07C2"/>
    <w:rsid w:val="00A21B4F"/>
    <w:rsid w:val="00A32E2C"/>
    <w:rsid w:val="00AD0035"/>
    <w:rsid w:val="00AE0678"/>
    <w:rsid w:val="00B8798B"/>
    <w:rsid w:val="00BE6D9A"/>
    <w:rsid w:val="00C32388"/>
    <w:rsid w:val="00CC5EAF"/>
    <w:rsid w:val="00CF2690"/>
    <w:rsid w:val="00CF5368"/>
    <w:rsid w:val="00D30AA0"/>
    <w:rsid w:val="00D82C03"/>
    <w:rsid w:val="00D854A8"/>
    <w:rsid w:val="00D97841"/>
    <w:rsid w:val="00DA5D85"/>
    <w:rsid w:val="00DC0E10"/>
    <w:rsid w:val="00DD050B"/>
    <w:rsid w:val="00E4708E"/>
    <w:rsid w:val="00E61348"/>
    <w:rsid w:val="00E963BC"/>
    <w:rsid w:val="00EF1709"/>
    <w:rsid w:val="00F01921"/>
    <w:rsid w:val="00F62699"/>
    <w:rsid w:val="00F904C6"/>
    <w:rsid w:val="00FA14FB"/>
    <w:rsid w:val="00FA2C05"/>
    <w:rsid w:val="00FB285B"/>
    <w:rsid w:val="00FE3FCA"/>
    <w:rsid w:val="105E3628"/>
    <w:rsid w:val="3C165429"/>
    <w:rsid w:val="4CACB3EC"/>
    <w:rsid w:val="5302CD13"/>
    <w:rsid w:val="5FFE494F"/>
    <w:rsid w:val="640CB3D0"/>
    <w:rsid w:val="690CD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D27442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285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ind w:left="351" w:right="950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6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E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E7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E7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3D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3D41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2024-02-26T11:54:00Z</dcterms:created>
  <dcterms:modified xsi:type="dcterms:W3CDTF">2024-08-20T11:40:00Z</dcterms:modified>
</cp:coreProperties>
</file>