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BF50A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BF50A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F50A1">
        <w:rPr>
          <w:b/>
          <w:i/>
          <w:sz w:val="22"/>
        </w:rPr>
        <w:t>Załącznik nr 1a</w:t>
      </w:r>
    </w:p>
    <w:p w:rsidR="00B56D8E" w:rsidRPr="00BF50A1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BF50A1">
        <w:rPr>
          <w:sz w:val="22"/>
        </w:rPr>
        <w:t xml:space="preserve">Karta przedmiotu </w:t>
      </w:r>
    </w:p>
    <w:p w:rsidR="008050C4" w:rsidRPr="00BF50A1" w:rsidRDefault="008050C4" w:rsidP="00B56D8E">
      <w:pPr>
        <w:pStyle w:val="Nagwek1"/>
        <w:spacing w:after="160"/>
        <w:ind w:left="11" w:right="607" w:hanging="11"/>
        <w:rPr>
          <w:sz w:val="22"/>
        </w:rPr>
      </w:pPr>
      <w:r w:rsidRPr="00BF50A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BF50A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BF50A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F50A1">
              <w:rPr>
                <w:b/>
              </w:rPr>
              <w:t xml:space="preserve">Informacje ogólne o przedmiocie </w:t>
            </w:r>
          </w:p>
        </w:tc>
      </w:tr>
      <w:tr w:rsidR="0004413E" w:rsidRPr="00BF50A1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F50A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BF50A1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F50A1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BF50A1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BF50A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FF5A41" w:rsidRPr="00BF50A1">
              <w:rPr>
                <w:rFonts w:ascii="Times New Roman" w:hAnsi="Times New Roman"/>
                <w:color w:val="000000" w:themeColor="text1"/>
              </w:rPr>
              <w:t>nie</w:t>
            </w:r>
            <w:r w:rsidRPr="00BF50A1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BF50A1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BF50A1">
              <w:rPr>
                <w:b/>
                <w:color w:val="000000" w:themeColor="text1"/>
              </w:rPr>
              <w:t xml:space="preserve">4. Rok: </w:t>
            </w:r>
            <w:r w:rsidR="00EA1A9B" w:rsidRPr="00BF50A1">
              <w:rPr>
                <w:color w:val="000000" w:themeColor="text1"/>
              </w:rPr>
              <w:t xml:space="preserve">II </w:t>
            </w:r>
            <w:r w:rsidR="00C93DB2" w:rsidRPr="00BF50A1">
              <w:rPr>
                <w:color w:val="000000" w:themeColor="text1"/>
              </w:rPr>
              <w:t>/ cykl 2024</w:t>
            </w:r>
            <w:r w:rsidRPr="00BF50A1">
              <w:rPr>
                <w:color w:val="000000" w:themeColor="text1"/>
              </w:rPr>
              <w:t>-202</w:t>
            </w:r>
            <w:r w:rsidR="00C93DB2" w:rsidRPr="00BF50A1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040401" w:rsidRPr="00BF50A1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BF50A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0404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BF50A1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BF50A1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E67BD8" w:rsidRPr="00BF50A1">
              <w:rPr>
                <w:rFonts w:ascii="Times New Roman" w:hAnsi="Times New Roman"/>
                <w:color w:val="000000" w:themeColor="text1"/>
              </w:rPr>
              <w:t xml:space="preserve">onkologii i </w:t>
            </w:r>
            <w:r w:rsidR="00040401" w:rsidRPr="00BF50A1">
              <w:rPr>
                <w:rFonts w:ascii="Times New Roman" w:hAnsi="Times New Roman"/>
                <w:color w:val="000000" w:themeColor="text1"/>
              </w:rPr>
              <w:t>medycynie paliatywnej</w:t>
            </w:r>
          </w:p>
        </w:tc>
      </w:tr>
      <w:tr w:rsidR="0004413E" w:rsidRPr="00BF50A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F50A1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BF50A1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BF50A1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BF50A1">
              <w:rPr>
                <w:b/>
              </w:rPr>
              <w:t xml:space="preserve">8.  Cel/-e przedmiotu  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Dostarczenie wiedzy na temat podstaw teoretycznych i praktycznych z zakresu opieki paliatywnej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i propedeutyki medycyny paliatywnej.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Przygotowanie do wykonywania specjalistycznych świadczeń zapobiegawczych i rehabilitacyjnych zgodnie z obowiązującymi przepisami.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Kształtowanie umiejętności promocji i edukacji zdrowotnej w różnych obszarach opieki specjalistycznej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z uwzględnieniem procesu starzenia się oraz zasad opieki i fizjoterapii geriatrycznej.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Doskonalenie umiejętności działania w roli uczestnika specjalistycznych zespołów opieki zdrowotnej</w:t>
            </w:r>
          </w:p>
          <w:p w:rsidR="00B56D8E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 xml:space="preserve">z uwzględnieniem zagrożeń związanych z hospitalizacją osób starszych. </w:t>
            </w:r>
          </w:p>
          <w:p w:rsidR="00040401" w:rsidRPr="00BF50A1" w:rsidRDefault="00040401" w:rsidP="00040401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</w:p>
          <w:p w:rsidR="000753EB" w:rsidRPr="00BF50A1" w:rsidRDefault="000753EB" w:rsidP="00BF50A1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BF50A1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BF50A1">
              <w:rPr>
                <w:rFonts w:eastAsia="Calibri"/>
                <w:lang w:eastAsia="en-US"/>
              </w:rPr>
              <w:t xml:space="preserve">zawartych w </w:t>
            </w:r>
            <w:r w:rsidRPr="00BF50A1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BF50A1">
              <w:rPr>
                <w:rFonts w:eastAsia="Calibri"/>
                <w:lang w:eastAsia="en-US"/>
              </w:rPr>
              <w:t>:</w:t>
            </w:r>
          </w:p>
          <w:p w:rsidR="000753EB" w:rsidRPr="00BF50A1" w:rsidRDefault="000753EB" w:rsidP="00BF50A1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BF50A1">
              <w:rPr>
                <w:rFonts w:eastAsia="Calibri"/>
                <w:lang w:eastAsia="en-US"/>
              </w:rPr>
              <w:t>standardach kształcenia (</w:t>
            </w:r>
            <w:r w:rsidRPr="00BF50A1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BF50A1">
              <w:rPr>
                <w:rFonts w:eastAsia="Calibri"/>
                <w:lang w:eastAsia="en-US"/>
              </w:rPr>
              <w:t>)/Uchwale Senatu SUM</w:t>
            </w:r>
            <w:r w:rsidRPr="00BF50A1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040401" w:rsidRPr="00BF50A1" w:rsidRDefault="00040401" w:rsidP="00040401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w zakresie wiedzy student zna i rozumie: D.W3, D.W12, D.W13</w:t>
            </w:r>
          </w:p>
          <w:p w:rsidR="00040401" w:rsidRPr="00BF50A1" w:rsidRDefault="00040401" w:rsidP="00040401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w zakresie umiejętności student potrafi: D.U45, D.U47, D.U48</w:t>
            </w:r>
          </w:p>
          <w:p w:rsidR="0004413E" w:rsidRPr="00BF50A1" w:rsidRDefault="00040401" w:rsidP="00040401">
            <w:pPr>
              <w:spacing w:after="0" w:line="263" w:lineRule="auto"/>
              <w:ind w:left="10" w:right="296" w:firstLine="0"/>
              <w:jc w:val="left"/>
            </w:pPr>
            <w:r w:rsidRPr="00BF50A1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BF50A1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BF50A1" w:rsidRDefault="00C66837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BF50A1">
              <w:rPr>
                <w:b/>
              </w:rPr>
              <w:t>4</w:t>
            </w:r>
            <w:r w:rsidR="0004413E" w:rsidRPr="00BF50A1">
              <w:rPr>
                <w:b/>
              </w:rPr>
              <w:t>0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BF50A1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BF50A1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BF50A1">
              <w:rPr>
                <w:b/>
              </w:rPr>
              <w:t xml:space="preserve">2 </w:t>
            </w:r>
          </w:p>
        </w:tc>
      </w:tr>
      <w:tr w:rsidR="0004413E" w:rsidRPr="00BF50A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11. Forma zaliczenia przedmiotu: </w:t>
            </w:r>
            <w:r w:rsidRPr="00BF50A1">
              <w:t>egzamin zintegrowany</w:t>
            </w:r>
          </w:p>
        </w:tc>
      </w:tr>
      <w:tr w:rsidR="0004413E" w:rsidRPr="00BF50A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BF50A1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BF50A1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BF50A1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BF50A1">
              <w:t xml:space="preserve">Sposoby oceny*/zaliczenie </w:t>
            </w:r>
          </w:p>
        </w:tc>
      </w:tr>
      <w:tr w:rsidR="0004413E" w:rsidRPr="00BF50A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F50A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 xml:space="preserve">Egzamin </w:t>
            </w:r>
            <w:r w:rsidR="0004413E" w:rsidRPr="00BF50A1">
              <w:rPr>
                <w:color w:val="000000" w:themeColor="text1"/>
              </w:rPr>
              <w:t>pisemny</w:t>
            </w:r>
            <w:r w:rsidR="006A38B8" w:rsidRPr="00BF50A1">
              <w:rPr>
                <w:color w:val="000000" w:themeColor="text1"/>
              </w:rPr>
              <w:t>/</w:t>
            </w:r>
            <w:r w:rsidR="0004413E" w:rsidRPr="00BF50A1">
              <w:rPr>
                <w:color w:val="000000" w:themeColor="text1"/>
              </w:rPr>
              <w:t>testwyboru</w:t>
            </w:r>
          </w:p>
          <w:p w:rsidR="0004413E" w:rsidRPr="00BF50A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D</w:t>
            </w:r>
            <w:r w:rsidR="0004413E" w:rsidRPr="00BF50A1">
              <w:rPr>
                <w:color w:val="000000" w:themeColor="text1"/>
              </w:rPr>
              <w:t>yskusja oparta o EBM</w:t>
            </w:r>
            <w:r w:rsidR="00040401" w:rsidRPr="00BF50A1">
              <w:rPr>
                <w:color w:val="000000" w:themeColor="text1"/>
              </w:rPr>
              <w:t>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 *</w:t>
            </w:r>
          </w:p>
        </w:tc>
      </w:tr>
      <w:tr w:rsidR="0004413E" w:rsidRPr="00BF50A1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F50A1" w:rsidRDefault="00040401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 *</w:t>
            </w:r>
          </w:p>
        </w:tc>
      </w:tr>
      <w:tr w:rsidR="0004413E" w:rsidRPr="00BF50A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BF50A1" w:rsidRDefault="00040401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BF50A1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BF50A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BF50A1">
              <w:rPr>
                <w:b/>
              </w:rPr>
              <w:t xml:space="preserve"> *</w:t>
            </w:r>
          </w:p>
        </w:tc>
      </w:tr>
    </w:tbl>
    <w:p w:rsidR="0004413E" w:rsidRPr="00BF50A1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*</w:t>
      </w:r>
      <w:r w:rsidRPr="00BF50A1">
        <w:rPr>
          <w:sz w:val="22"/>
        </w:rPr>
        <w:t xml:space="preserve"> w przypadku egzaminu/zaliczenia na ocenę zakłada się, że ocena oznacza na poziomie</w:t>
      </w:r>
    </w:p>
    <w:p w:rsidR="00EA1A9B" w:rsidRPr="00BF50A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Bardzo dobry (5,0)</w:t>
      </w:r>
      <w:r w:rsidRPr="00BF50A1">
        <w:rPr>
          <w:sz w:val="22"/>
        </w:rPr>
        <w:t xml:space="preserve"> - zakładane efekty uczenia się zostały osiągnięte i znacznym stopniu przekraczają wymagany poziom </w:t>
      </w:r>
    </w:p>
    <w:p w:rsidR="00EA1A9B" w:rsidRPr="00BF50A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Ponad dobry (4,5)</w:t>
      </w:r>
      <w:r w:rsidRPr="00BF50A1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BF50A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Dobry (4,0)</w:t>
      </w:r>
      <w:r w:rsidRPr="00BF50A1">
        <w:rPr>
          <w:sz w:val="22"/>
        </w:rPr>
        <w:t xml:space="preserve"> – zakładane efekty uczenia się zostały osiągnięte na wymaganym poziomie </w:t>
      </w:r>
    </w:p>
    <w:p w:rsidR="0004413E" w:rsidRPr="00BF50A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Dość dobry (3,5)</w:t>
      </w:r>
      <w:r w:rsidRPr="00BF50A1">
        <w:rPr>
          <w:sz w:val="22"/>
        </w:rPr>
        <w:t xml:space="preserve"> – zakładane efekty uczenia się zostały osiągnięte na średnim wymaganym poziomie </w:t>
      </w:r>
    </w:p>
    <w:p w:rsidR="0004413E" w:rsidRPr="00BF50A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Dostateczny (3,0)</w:t>
      </w:r>
      <w:r w:rsidRPr="00BF50A1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BF50A1">
        <w:rPr>
          <w:b/>
          <w:sz w:val="22"/>
        </w:rPr>
        <w:t>Niedostateczny (2,0)</w:t>
      </w:r>
      <w:r w:rsidRPr="00BF50A1">
        <w:rPr>
          <w:sz w:val="22"/>
        </w:rPr>
        <w:t xml:space="preserve"> – zakładane efekty uczenia się nie zostały uzyskane. </w:t>
      </w:r>
    </w:p>
    <w:p w:rsidR="005B7FDB" w:rsidRDefault="005B7FDB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B7FDB" w:rsidRDefault="005B7FDB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B7FDB" w:rsidRPr="00E20B5C" w:rsidRDefault="005B7FDB" w:rsidP="005B7FD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20B5C">
        <w:rPr>
          <w:rFonts w:eastAsia="Calibri"/>
          <w:b/>
          <w:sz w:val="28"/>
          <w:lang w:eastAsia="en-US"/>
        </w:rPr>
        <w:t>Karta przedmiotu</w:t>
      </w:r>
    </w:p>
    <w:p w:rsidR="005B7FDB" w:rsidRPr="00E20B5C" w:rsidRDefault="005B7FDB" w:rsidP="005B7FD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20B5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B7FDB" w:rsidRPr="00E20B5C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B7FDB" w:rsidRPr="00E20B5C" w:rsidTr="00307E1B">
        <w:tc>
          <w:tcPr>
            <w:tcW w:w="9748" w:type="dxa"/>
            <w:gridSpan w:val="5"/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20B5C">
              <w:rPr>
                <w:rFonts w:eastAsia="Calibri"/>
                <w:sz w:val="22"/>
                <w:lang w:eastAsia="en-US"/>
              </w:rPr>
              <w:t xml:space="preserve"> </w:t>
            </w:r>
            <w:r w:rsidRPr="00E20B5C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5B7FDB" w:rsidRPr="004360C1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Zakład Medycyny i Opieki Paliatywnej Katedry Pielęgniarstwa</w:t>
            </w:r>
          </w:p>
          <w:p w:rsidR="005B7FDB" w:rsidRPr="004360C1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Ul. Medyków 12, 40-752 Katowice</w:t>
            </w:r>
          </w:p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mjanecki</w:t>
            </w:r>
            <w:r w:rsidRPr="004360C1">
              <w:rPr>
                <w:rFonts w:eastAsia="Calibri"/>
                <w:sz w:val="22"/>
                <w:lang w:eastAsia="en-US"/>
              </w:rPr>
              <w:t>@sum.edu.pl</w:t>
            </w:r>
          </w:p>
        </w:tc>
      </w:tr>
      <w:tr w:rsidR="005B7FDB" w:rsidRPr="00A32B6C" w:rsidTr="00307E1B">
        <w:tc>
          <w:tcPr>
            <w:tcW w:w="9748" w:type="dxa"/>
            <w:gridSpan w:val="5"/>
            <w:shd w:val="clear" w:color="auto" w:fill="auto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B7FDB" w:rsidRPr="004360C1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US" w:eastAsia="en-US"/>
              </w:rPr>
            </w:pPr>
            <w:r w:rsidRPr="004360C1">
              <w:rPr>
                <w:rFonts w:eastAsia="Calibri"/>
                <w:sz w:val="22"/>
                <w:lang w:val="en-US" w:eastAsia="en-US"/>
              </w:rPr>
              <w:t xml:space="preserve">Dr n. med. Marcin </w:t>
            </w:r>
            <w:proofErr w:type="spellStart"/>
            <w:r w:rsidRPr="004360C1">
              <w:rPr>
                <w:rFonts w:eastAsia="Calibri"/>
                <w:sz w:val="22"/>
                <w:lang w:val="en-US" w:eastAsia="en-US"/>
              </w:rPr>
              <w:t>Janecki</w:t>
            </w:r>
            <w:proofErr w:type="spellEnd"/>
          </w:p>
        </w:tc>
      </w:tr>
      <w:tr w:rsidR="005B7FDB" w:rsidRPr="00E20B5C" w:rsidTr="00307E1B">
        <w:tc>
          <w:tcPr>
            <w:tcW w:w="9748" w:type="dxa"/>
            <w:gridSpan w:val="5"/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B7FDB" w:rsidRPr="004360C1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Posiadanie wiedzy w zakresie anatomii, fizjologii i patofizjologii człowieka.</w:t>
            </w:r>
          </w:p>
        </w:tc>
      </w:tr>
      <w:tr w:rsidR="005B7FDB" w:rsidRPr="00E20B5C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B7FDB" w:rsidRPr="00E20B5C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-</w:t>
            </w:r>
          </w:p>
        </w:tc>
      </w:tr>
      <w:tr w:rsidR="005B7FDB" w:rsidRPr="00E20B5C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 xml:space="preserve">Zgodnie z harmonogramem </w:t>
            </w:r>
            <w:proofErr w:type="spellStart"/>
            <w:r>
              <w:t>WNoZ</w:t>
            </w:r>
            <w:proofErr w:type="spellEnd"/>
            <w:r>
              <w:t xml:space="preserve"> w </w:t>
            </w:r>
            <w:proofErr w:type="spellStart"/>
            <w:r>
              <w:t>Katwicach</w:t>
            </w:r>
            <w:proofErr w:type="spellEnd"/>
          </w:p>
        </w:tc>
      </w:tr>
      <w:tr w:rsidR="005B7FDB" w:rsidRPr="00E20B5C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 xml:space="preserve">Zgodnie z harmonogramem </w:t>
            </w:r>
            <w:r w:rsidRPr="004360C1">
              <w:rPr>
                <w:rFonts w:eastAsia="Calibri"/>
                <w:sz w:val="22"/>
                <w:lang w:eastAsia="en-US"/>
              </w:rPr>
              <w:t>Zakładu Medycyny i Opieki Paliatywnej</w:t>
            </w:r>
          </w:p>
        </w:tc>
      </w:tr>
      <w:tr w:rsidR="005B7FDB" w:rsidRPr="00E20B5C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20B5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20B5C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5B7FD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20B5C">
              <w:rPr>
                <w:rFonts w:eastAsia="Calibri"/>
                <w:sz w:val="22"/>
                <w:lang w:eastAsia="en-US"/>
              </w:rPr>
              <w:t xml:space="preserve">/ </w:t>
            </w:r>
            <w:r w:rsidRPr="005B7FDB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20B5C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  onkologii i medycyny paliatywnej, w stopniu umożliwiającym racjonalne stosowanie środ</w:t>
            </w:r>
            <w:r>
              <w:rPr>
                <w:rFonts w:eastAsia="Calibri"/>
                <w:sz w:val="22"/>
                <w:lang w:eastAsia="en-US"/>
              </w:rPr>
              <w:t>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cs="Calibri"/>
                <w:sz w:val="22"/>
              </w:rPr>
              <w:t>D.W3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fizjologię procesu starzenia się oraz zasady opieki i fizjoterapii geriatrycznej wykorz</w:t>
            </w:r>
            <w:r>
              <w:rPr>
                <w:rFonts w:eastAsia="Calibri"/>
                <w:sz w:val="22"/>
                <w:lang w:eastAsia="en-US"/>
              </w:rPr>
              <w:t>ystywanej w opiece paliatywnej.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D.W12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zna i rozumie zagrożenia związane z hospitalizacją osób starszych.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D.W13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potrafi dobierać i wykonywać zabiegi z zakresu fizjoterapii geriatrycznej oraz instruować osoby starsze w zakresie wykonywania ćwiczeń w domu oraz sto</w:t>
            </w:r>
            <w:r>
              <w:rPr>
                <w:rFonts w:eastAsia="Calibri"/>
                <w:sz w:val="22"/>
                <w:lang w:eastAsia="en-US"/>
              </w:rPr>
              <w:t>sowania różnych form rekreacji.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cs="Calibri"/>
                <w:sz w:val="22"/>
              </w:rPr>
              <w:t>D.U45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Student potrafi stosować zasady prawidłowej komunikacji </w:t>
            </w:r>
          </w:p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z pacjentem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D.U47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potrafi zastosować ćwiczenia mające na celu poprawę jakości życia pacjent</w:t>
            </w:r>
            <w:r>
              <w:rPr>
                <w:rFonts w:eastAsia="Calibri"/>
                <w:sz w:val="22"/>
                <w:lang w:eastAsia="en-US"/>
              </w:rPr>
              <w:t xml:space="preserve">a paliatywnego,  w tym również </w:t>
            </w:r>
            <w:r w:rsidRPr="004360C1">
              <w:rPr>
                <w:rFonts w:eastAsia="Calibri"/>
                <w:sz w:val="22"/>
                <w:lang w:eastAsia="en-US"/>
              </w:rPr>
              <w:t>z zastosowaniem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cs="Calibri"/>
                <w:sz w:val="22"/>
              </w:rPr>
              <w:t>D.U48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jest gotów do nawiązania i utrzymania pełnego szacunku kontaktu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5B7FDB" w:rsidRPr="00E20B5C" w:rsidTr="00307E1B">
        <w:tc>
          <w:tcPr>
            <w:tcW w:w="1778" w:type="dxa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5B7FDB" w:rsidRPr="004360C1" w:rsidRDefault="005B7FDB" w:rsidP="005B7FD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5B7FDB" w:rsidRPr="00E20B5C" w:rsidTr="00307E1B">
        <w:tc>
          <w:tcPr>
            <w:tcW w:w="8695" w:type="dxa"/>
            <w:gridSpan w:val="4"/>
            <w:shd w:val="clear" w:color="auto" w:fill="D9D9D9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5B7FDB" w:rsidRPr="00E20B5C" w:rsidRDefault="005B7FDB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Okres terminalny – charakterystyka i zadania wobec chorego. Organizacja i struktury opieki paliatywnej i hospicyjnej. Zasady i założenia opieki paliatywnej. Objawy i stany emocjonalne umierających. Postepowanie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przeciwobjawowe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– wstęp. Zasady odpowiedzialnego i godnego umierania. Bioetyczne zasady w opiece paliatywnej. Jakość życia u chorych objętych opieka </w:t>
            </w:r>
            <w:r w:rsidRPr="004360C1">
              <w:rPr>
                <w:rFonts w:eastAsia="Calibri"/>
                <w:sz w:val="22"/>
                <w:lang w:eastAsia="en-US"/>
              </w:rPr>
              <w:lastRenderedPageBreak/>
              <w:t>paliatywną. Analiza literatury naukowej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Jakość życia chorych w zaawansowanej fazie nieuleczalnej choroby, w okresie starzenia się oraz zasady opieki i fizjoterapii geriatrycznej wykorzystywanej w opiece paliatywnej. Zasady komunikacji z chorym oraz jego rodz</w:t>
            </w:r>
            <w:r>
              <w:rPr>
                <w:rFonts w:eastAsia="Calibri"/>
                <w:sz w:val="22"/>
                <w:lang w:eastAsia="en-US"/>
              </w:rPr>
              <w:t>iną. Ból u chorych na nowotwór.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Metody fizjoterapii stosowane w opiece paliatywnej u pacjentów w zaawansowanym stadium choroby nowotworowej i innych schorzeń nowotworowych.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Metody poprawy jakości życia chorych w zawansowanej fazie choroby w okresie starzenia się oraz zasady opieki i fizjoterapii geriatrycznej wykorzystywanej w opiece paliatywnej. Zasady prawidłowej komunikacji z pacjentem oraz komunikowanie się z innymi członkami zespołu terapeutycznego.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Wskazania i przeciwwskazana do wykonywania fizjoterapii. Metody fizjoterapii stosowane 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w opiece paliatywnej u pacjentów w zaawansowanym stadium choroby nowotworowej 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i</w:t>
            </w:r>
            <w:r>
              <w:rPr>
                <w:rFonts w:eastAsia="Calibri"/>
                <w:sz w:val="22"/>
                <w:lang w:eastAsia="en-US"/>
              </w:rPr>
              <w:t xml:space="preserve"> innych schorzeń nowotworowych.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Nawiązywanie i utrzymanie pełnego szacunku kontaktu z pacjentem, a także okazywania zrozumienia dla różnic światopoglądowych i kulturowych Przestrzegania praw pacjenta i zasad etyki zawodowej.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5B7FDB" w:rsidRPr="00E20B5C" w:rsidTr="00307E1B">
        <w:tc>
          <w:tcPr>
            <w:tcW w:w="8695" w:type="dxa"/>
            <w:gridSpan w:val="4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Postępowanie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przeciwobjawowe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>. Metody poprawy jakości życia chorych w okresie terminalnym. Ból somatyczny, psychiczny i duchowy – metody właściwej kontroli objawowej. Zasady komunikacji z chorym w terminalnej fazie choroby i jego rodziną. Jednostki chorobowe kwalifikujące osoby dorosłe do objęcia opieką paliatywna. Rola fizjoterapeuty w zespole interdyscyplinarnym opieki paliatywnej. Choroba nowotworowa, przeciwskazania bezwzględne i względne do p</w:t>
            </w:r>
            <w:r>
              <w:rPr>
                <w:rFonts w:eastAsia="Calibri"/>
                <w:sz w:val="22"/>
                <w:lang w:eastAsia="en-US"/>
              </w:rPr>
              <w:t>odjęcia fizjoterapii u chorych.</w:t>
            </w:r>
          </w:p>
        </w:tc>
        <w:tc>
          <w:tcPr>
            <w:tcW w:w="1053" w:type="dxa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Planowanie i realizowane zabiegów fizjoterapeutycznych i edukacji zdrowotnej w różnych obszarach opieki specjalistycznej z uwzględnieniem procesu starzenia się oraz zasad opieki 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i fizjoterapii geriatrycznej. Uczestniczenie w pracy specjalistycznych zespołów opieki zdrowotnej z uwzględnieniem zagrożeń związanych z hospitalizacją osób starszych.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5B7FDB" w:rsidRPr="00E20B5C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B7FDB" w:rsidRPr="00E20B5C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Literatura podstawowa: 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1. Wójcik A.,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Pyszora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 (red.): Fizjoterapia w opiece paliatywnej. Wydawnictwo Lekarskie PZWL, Warszawa 2013.</w:t>
            </w:r>
          </w:p>
          <w:p w:rsidR="005B7FDB" w:rsidRPr="004360C1" w:rsidRDefault="005B7FDB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Literatura uzupełniająca: </w:t>
            </w:r>
          </w:p>
          <w:p w:rsidR="005B7FDB" w:rsidRPr="004360C1" w:rsidRDefault="005B7FD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>1. Ciałkowska-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Rysz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A., Dzierżanowski T. (red): Medycyna Paliatywna.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Termedia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, Warszawa 2019. </w:t>
            </w:r>
          </w:p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360C1">
              <w:rPr>
                <w:rFonts w:eastAsia="Calibri"/>
                <w:sz w:val="22"/>
                <w:lang w:eastAsia="en-US"/>
              </w:rPr>
              <w:t xml:space="preserve">2. de 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Walden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>-Gałuszko K., Ciałkowska-</w:t>
            </w:r>
            <w:proofErr w:type="spellStart"/>
            <w:r w:rsidRPr="004360C1">
              <w:rPr>
                <w:rFonts w:eastAsia="Calibri"/>
                <w:sz w:val="22"/>
                <w:lang w:eastAsia="en-US"/>
              </w:rPr>
              <w:t>Rysz</w:t>
            </w:r>
            <w:proofErr w:type="spellEnd"/>
            <w:r w:rsidRPr="004360C1">
              <w:rPr>
                <w:rFonts w:eastAsia="Calibri"/>
                <w:sz w:val="22"/>
                <w:lang w:eastAsia="en-US"/>
              </w:rPr>
              <w:t xml:space="preserve"> A. (red.): Medycyna Paliatywna. Wydawnictwo Lekarskie PZWL, Warszawa 2015.</w:t>
            </w:r>
          </w:p>
        </w:tc>
      </w:tr>
      <w:tr w:rsidR="005B7FDB" w:rsidRPr="00E20B5C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0B5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B7FDB" w:rsidRPr="00E20B5C" w:rsidTr="00307E1B">
        <w:tc>
          <w:tcPr>
            <w:tcW w:w="9748" w:type="dxa"/>
            <w:gridSpan w:val="5"/>
            <w:vAlign w:val="center"/>
          </w:tcPr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B7FDB" w:rsidRPr="00E20B5C" w:rsidRDefault="005B7FDB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0B5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B7FDB" w:rsidRPr="00BF50A1" w:rsidRDefault="005B7FDB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5B7FDB" w:rsidRPr="00BF50A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EFE" w:rsidRDefault="00E43EFE">
      <w:pPr>
        <w:spacing w:after="0" w:line="240" w:lineRule="auto"/>
      </w:pPr>
      <w:r>
        <w:separator/>
      </w:r>
    </w:p>
  </w:endnote>
  <w:endnote w:type="continuationSeparator" w:id="0">
    <w:p w:rsidR="00E43EFE" w:rsidRDefault="00E43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60B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60B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63E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E60B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EFE" w:rsidRDefault="00E43EFE">
      <w:pPr>
        <w:spacing w:after="0" w:line="240" w:lineRule="auto"/>
      </w:pPr>
      <w:r>
        <w:separator/>
      </w:r>
    </w:p>
  </w:footnote>
  <w:footnote w:type="continuationSeparator" w:id="0">
    <w:p w:rsidR="00E43EFE" w:rsidRDefault="00E43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0401"/>
    <w:rsid w:val="0004413E"/>
    <w:rsid w:val="00052014"/>
    <w:rsid w:val="00065C5D"/>
    <w:rsid w:val="000753EB"/>
    <w:rsid w:val="001032AA"/>
    <w:rsid w:val="00117FB9"/>
    <w:rsid w:val="00171AC0"/>
    <w:rsid w:val="00176751"/>
    <w:rsid w:val="001A76A8"/>
    <w:rsid w:val="00220552"/>
    <w:rsid w:val="00253BBF"/>
    <w:rsid w:val="00271C2F"/>
    <w:rsid w:val="00282FA5"/>
    <w:rsid w:val="00306823"/>
    <w:rsid w:val="004360C1"/>
    <w:rsid w:val="005531F9"/>
    <w:rsid w:val="005B7FDB"/>
    <w:rsid w:val="005E60BC"/>
    <w:rsid w:val="00626931"/>
    <w:rsid w:val="006A38B8"/>
    <w:rsid w:val="006D33EF"/>
    <w:rsid w:val="008050C4"/>
    <w:rsid w:val="008063E8"/>
    <w:rsid w:val="008B1D56"/>
    <w:rsid w:val="009321DB"/>
    <w:rsid w:val="00966954"/>
    <w:rsid w:val="00A32B6C"/>
    <w:rsid w:val="00AA6496"/>
    <w:rsid w:val="00AB5358"/>
    <w:rsid w:val="00B56D8E"/>
    <w:rsid w:val="00B76686"/>
    <w:rsid w:val="00BF50A1"/>
    <w:rsid w:val="00C66837"/>
    <w:rsid w:val="00C93DB2"/>
    <w:rsid w:val="00CC5EAF"/>
    <w:rsid w:val="00D0670C"/>
    <w:rsid w:val="00D15D88"/>
    <w:rsid w:val="00D37A27"/>
    <w:rsid w:val="00D409F4"/>
    <w:rsid w:val="00D52655"/>
    <w:rsid w:val="00DB0098"/>
    <w:rsid w:val="00E20B5C"/>
    <w:rsid w:val="00E43EFE"/>
    <w:rsid w:val="00E4708E"/>
    <w:rsid w:val="00E67BD8"/>
    <w:rsid w:val="00E95559"/>
    <w:rsid w:val="00EA1A9B"/>
    <w:rsid w:val="00F44211"/>
    <w:rsid w:val="00F72354"/>
    <w:rsid w:val="00FF5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D51E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2024-02-24T14:20:00Z</dcterms:created>
  <dcterms:modified xsi:type="dcterms:W3CDTF">2024-08-21T07:41:00Z</dcterms:modified>
</cp:coreProperties>
</file>