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086" w:rsidRPr="00C06901" w:rsidRDefault="00DB3086" w:rsidP="00B6160E">
      <w:pPr>
        <w:spacing w:after="160"/>
        <w:jc w:val="right"/>
        <w:rPr>
          <w:rFonts w:cs="Times New Roman"/>
          <w:b/>
          <w:color w:val="000000" w:themeColor="text1"/>
          <w:sz w:val="22"/>
          <w:szCs w:val="22"/>
        </w:rPr>
      </w:pPr>
      <w:r w:rsidRPr="00C06901">
        <w:rPr>
          <w:rFonts w:cs="Times New Roman"/>
          <w:b/>
          <w:i/>
          <w:sz w:val="22"/>
          <w:szCs w:val="22"/>
        </w:rPr>
        <w:t>Załącznik nr 1a</w:t>
      </w:r>
    </w:p>
    <w:p w:rsidR="00B6160E" w:rsidRPr="00C06901" w:rsidRDefault="008E3729" w:rsidP="00B6160E">
      <w:pPr>
        <w:spacing w:after="160"/>
        <w:jc w:val="center"/>
        <w:rPr>
          <w:rFonts w:cs="Times New Roman"/>
          <w:b/>
          <w:color w:val="000000" w:themeColor="text1"/>
          <w:sz w:val="22"/>
          <w:szCs w:val="22"/>
        </w:rPr>
      </w:pPr>
      <w:r w:rsidRPr="00C06901">
        <w:rPr>
          <w:rFonts w:cs="Times New Roman"/>
          <w:b/>
          <w:color w:val="000000" w:themeColor="text1"/>
          <w:sz w:val="22"/>
          <w:szCs w:val="22"/>
        </w:rPr>
        <w:t>Karta przedmiotu</w:t>
      </w:r>
      <w:r w:rsidR="00301F0D" w:rsidRPr="00C06901">
        <w:rPr>
          <w:rFonts w:cs="Times New Roman"/>
          <w:b/>
          <w:color w:val="000000" w:themeColor="text1"/>
          <w:sz w:val="22"/>
          <w:szCs w:val="22"/>
        </w:rPr>
        <w:t xml:space="preserve"> </w:t>
      </w:r>
    </w:p>
    <w:p w:rsidR="008E3729" w:rsidRPr="00C06901" w:rsidRDefault="008E3729" w:rsidP="00B6160E">
      <w:pPr>
        <w:spacing w:after="160"/>
        <w:jc w:val="center"/>
        <w:rPr>
          <w:rFonts w:cs="Times New Roman"/>
          <w:b/>
          <w:color w:val="000000" w:themeColor="text1"/>
          <w:sz w:val="22"/>
          <w:szCs w:val="22"/>
        </w:rPr>
      </w:pPr>
      <w:r w:rsidRPr="00C06901">
        <w:rPr>
          <w:rFonts w:cs="Times New Roman"/>
          <w:b/>
          <w:color w:val="000000" w:themeColor="text1"/>
          <w:sz w:val="22"/>
          <w:szCs w:val="22"/>
        </w:rPr>
        <w:t>Cz. 1</w:t>
      </w:r>
    </w:p>
    <w:tbl>
      <w:tblPr>
        <w:tblW w:w="972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100"/>
        <w:gridCol w:w="709"/>
        <w:gridCol w:w="383"/>
        <w:gridCol w:w="2579"/>
        <w:gridCol w:w="1857"/>
        <w:gridCol w:w="1094"/>
      </w:tblGrid>
      <w:tr w:rsidR="008E3729" w:rsidRPr="00C06901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Informacje ogólne o przedmiocie</w:t>
            </w:r>
          </w:p>
        </w:tc>
      </w:tr>
      <w:tr w:rsidR="008E3729" w:rsidRPr="00C06901" w:rsidTr="00301F0D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1. Kierunek studiów: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Fizjoterapia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7B9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2. Poziom kształcenia:</w:t>
            </w:r>
            <w:r w:rsidR="00301F0D"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E3729" w:rsidRPr="00C06901" w:rsidRDefault="00301F0D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j</w:t>
            </w:r>
            <w:r w:rsidR="008E3729"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ednolite studia magisterskie / profil </w:t>
            </w:r>
            <w:proofErr w:type="spellStart"/>
            <w:r w:rsidR="008E3729" w:rsidRPr="00C06901">
              <w:rPr>
                <w:rFonts w:cs="Times New Roman"/>
                <w:color w:val="000000" w:themeColor="text1"/>
                <w:sz w:val="22"/>
                <w:szCs w:val="22"/>
              </w:rPr>
              <w:t>ogólnoakademicki</w:t>
            </w:r>
            <w:proofErr w:type="spellEnd"/>
          </w:p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3. Forma studiów:</w:t>
            </w:r>
            <w:r w:rsid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8460F" w:rsidRPr="00C06901">
              <w:rPr>
                <w:rFonts w:cs="Times New Roman"/>
                <w:color w:val="000000" w:themeColor="text1"/>
                <w:sz w:val="22"/>
                <w:szCs w:val="22"/>
              </w:rPr>
              <w:t>nie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stacjonarne</w:t>
            </w:r>
          </w:p>
        </w:tc>
      </w:tr>
      <w:tr w:rsidR="008E3729" w:rsidRPr="00C06901" w:rsidTr="00301F0D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4. Rok:</w:t>
            </w:r>
            <w:r w:rsidR="00287355"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IV / </w:t>
            </w:r>
            <w:r w:rsidR="00224353" w:rsidRPr="00C06901">
              <w:rPr>
                <w:rFonts w:cs="Times New Roman"/>
                <w:color w:val="000000" w:themeColor="text1"/>
                <w:sz w:val="22"/>
                <w:szCs w:val="22"/>
              </w:rPr>
              <w:t>cykl 2024-2029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5. Semestr: </w:t>
            </w:r>
            <w:r w:rsidR="00FA53D9" w:rsidRPr="00C06901">
              <w:rPr>
                <w:rFonts w:cs="Times New Roman"/>
                <w:color w:val="000000" w:themeColor="text1"/>
                <w:sz w:val="22"/>
                <w:szCs w:val="22"/>
              </w:rPr>
              <w:t>VII,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VIII</w:t>
            </w:r>
          </w:p>
        </w:tc>
      </w:tr>
      <w:tr w:rsidR="008E3729" w:rsidRPr="00C06901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6. Nazwa przedmiotu: </w:t>
            </w:r>
            <w:r w:rsidRPr="00C06901">
              <w:rPr>
                <w:rFonts w:cs="Times New Roman"/>
                <w:bCs/>
                <w:color w:val="000000" w:themeColor="text1"/>
                <w:sz w:val="22"/>
                <w:szCs w:val="22"/>
              </w:rPr>
              <w:t>Diagnostyka funkcjonalna w dysfunkcjach układu ruchu</w:t>
            </w:r>
          </w:p>
        </w:tc>
      </w:tr>
      <w:tr w:rsidR="008E3729" w:rsidRPr="00C06901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7. Status przedmiotu: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obowiązkowy</w:t>
            </w:r>
          </w:p>
        </w:tc>
      </w:tr>
      <w:tr w:rsidR="00301F0D" w:rsidRPr="00C06901" w:rsidTr="00301F0D">
        <w:trPr>
          <w:trHeight w:val="2408"/>
        </w:trPr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01F0D" w:rsidRPr="00C06901" w:rsidRDefault="00301F0D" w:rsidP="00FC2731">
            <w:pPr>
              <w:spacing w:after="13" w:line="259" w:lineRule="auto"/>
              <w:ind w:left="28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8.  Cel/-e przedmiotu</w:t>
            </w:r>
          </w:p>
          <w:p w:rsidR="00301F0D" w:rsidRPr="00C06901" w:rsidRDefault="00301F0D" w:rsidP="00C06901">
            <w:pPr>
              <w:spacing w:after="13" w:line="259" w:lineRule="auto"/>
              <w:ind w:left="28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06901">
              <w:rPr>
                <w:rFonts w:eastAsia="Times New Roman" w:cs="Times New Roman"/>
                <w:sz w:val="22"/>
                <w:szCs w:val="22"/>
              </w:rPr>
              <w:t>Celem przedmiotu jest zaznajomienie  studenta z objawami zmian patologicznych i zaburzeń funkcjonalnych oraz zapoznanie studenta z zasadami  diagnozowania najczęstszych dysfunkcji narządu ruchu w zakresie: ortopedii i traumatologii, medycyny sportowej, reumatologii, neurologii i neurochirurgii, a także nauczanie analizowania i interpretacji podstawowych badań czynnościowych umożliwiających racjonalne zaplanowanie rehabilitacji i właściwe stosowanie środków fizjoterapii w powiązaniu z wiedzą kliniczną.</w:t>
            </w:r>
          </w:p>
          <w:p w:rsidR="00C06901" w:rsidRDefault="00C06901" w:rsidP="00FC2731">
            <w:pPr>
              <w:spacing w:after="13" w:line="259" w:lineRule="auto"/>
              <w:ind w:left="28"/>
              <w:rPr>
                <w:rFonts w:eastAsia="Times New Roman" w:cs="Times New Roman"/>
                <w:b/>
                <w:sz w:val="22"/>
                <w:szCs w:val="22"/>
              </w:rPr>
            </w:pPr>
          </w:p>
          <w:p w:rsidR="00301F0D" w:rsidRPr="00C06901" w:rsidRDefault="00301F0D" w:rsidP="00C06901">
            <w:pPr>
              <w:spacing w:after="13" w:line="259" w:lineRule="auto"/>
              <w:ind w:left="28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C06901">
              <w:rPr>
                <w:rFonts w:eastAsia="Times New Roman" w:cs="Times New Roman"/>
                <w:b/>
                <w:sz w:val="22"/>
                <w:szCs w:val="22"/>
              </w:rPr>
              <w:t xml:space="preserve">Efekty uczenia się/odniesienie do efektów uczenia się </w:t>
            </w:r>
            <w:r w:rsidRPr="00C06901">
              <w:rPr>
                <w:rFonts w:eastAsia="Times New Roman" w:cs="Times New Roman"/>
                <w:sz w:val="22"/>
                <w:szCs w:val="22"/>
              </w:rPr>
              <w:t xml:space="preserve">zawartych w </w:t>
            </w:r>
            <w:r w:rsidRPr="00C06901">
              <w:rPr>
                <w:rFonts w:eastAsia="Times New Roman" w:cs="Times New Roman"/>
                <w:i/>
                <w:sz w:val="22"/>
                <w:szCs w:val="22"/>
              </w:rPr>
              <w:t>(właściwe podkreślić)</w:t>
            </w:r>
            <w:r w:rsidRPr="00C06901">
              <w:rPr>
                <w:rFonts w:eastAsia="Times New Roman" w:cs="Times New Roman"/>
                <w:sz w:val="22"/>
                <w:szCs w:val="22"/>
              </w:rPr>
              <w:t xml:space="preserve">: </w:t>
            </w:r>
          </w:p>
          <w:p w:rsidR="00301F0D" w:rsidRPr="00C06901" w:rsidRDefault="00301F0D" w:rsidP="00C06901">
            <w:pPr>
              <w:spacing w:after="15" w:line="263" w:lineRule="auto"/>
              <w:ind w:left="28"/>
              <w:jc w:val="both"/>
              <w:rPr>
                <w:rFonts w:eastAsia="Times New Roman" w:cs="Times New Roman"/>
                <w:i/>
                <w:sz w:val="22"/>
                <w:szCs w:val="22"/>
              </w:rPr>
            </w:pPr>
            <w:r w:rsidRPr="00C06901">
              <w:rPr>
                <w:rFonts w:eastAsia="Times New Roman" w:cs="Times New Roman"/>
                <w:sz w:val="22"/>
                <w:szCs w:val="22"/>
              </w:rPr>
              <w:t>standardach kształcenia (</w:t>
            </w:r>
            <w:r w:rsidRPr="00C06901">
              <w:rPr>
                <w:rFonts w:eastAsia="Times New Roman" w:cs="Times New Roman"/>
                <w:sz w:val="22"/>
                <w:szCs w:val="22"/>
                <w:u w:val="single"/>
              </w:rPr>
              <w:t>Rozporządzenie Ministra Nauki i Szkolnictwa Wyższego</w:t>
            </w:r>
            <w:r w:rsidRPr="00C06901">
              <w:rPr>
                <w:rFonts w:eastAsia="Times New Roman" w:cs="Times New Roman"/>
                <w:sz w:val="22"/>
                <w:szCs w:val="22"/>
              </w:rPr>
              <w:t xml:space="preserve">)/Uchwale Senatu SUM </w:t>
            </w:r>
            <w:r w:rsidRPr="00C06901">
              <w:rPr>
                <w:rFonts w:eastAsia="Times New Roman" w:cs="Times New Roman"/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C06901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C06901">
              <w:rPr>
                <w:rFonts w:eastAsia="Times New Roman" w:cs="Times New Roman"/>
                <w:i/>
                <w:sz w:val="22"/>
                <w:szCs w:val="22"/>
              </w:rPr>
              <w:t xml:space="preserve"> </w:t>
            </w:r>
          </w:p>
          <w:p w:rsidR="00301F0D" w:rsidRPr="00C06901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Cs/>
                <w:color w:val="000000" w:themeColor="text1"/>
                <w:sz w:val="22"/>
                <w:szCs w:val="22"/>
              </w:rPr>
              <w:t xml:space="preserve">w zakresie wiedzy student zna i rozumie: 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D.W2, D.W6, D.W16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</w:p>
          <w:p w:rsidR="00301F0D" w:rsidRPr="00C06901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Cs/>
                <w:color w:val="000000" w:themeColor="text1"/>
                <w:sz w:val="22"/>
                <w:szCs w:val="22"/>
              </w:rPr>
              <w:t>w zakresie umiejętności student potrafi: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 xml:space="preserve"> D.U1, D.U2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D.U3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D.U8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D.U12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/>
                <w:sz w:val="22"/>
                <w:szCs w:val="22"/>
              </w:rPr>
              <w:t>D.U.28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/>
                <w:sz w:val="22"/>
                <w:szCs w:val="22"/>
              </w:rPr>
              <w:t>D.U.39</w:t>
            </w:r>
            <w:r w:rsidRPr="00C06901">
              <w:rPr>
                <w:rFonts w:cs="Times New Roman"/>
                <w:sz w:val="22"/>
                <w:szCs w:val="22"/>
              </w:rPr>
              <w:t xml:space="preserve">, </w:t>
            </w: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D.U44, D.U47</w:t>
            </w:r>
          </w:p>
          <w:p w:rsidR="00301F0D" w:rsidRPr="00C06901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w zakresie kompetencji społecznych student jest gotów do: OK_K04 ,OK_K05, OK_K06, OK_K08</w:t>
            </w:r>
          </w:p>
        </w:tc>
      </w:tr>
      <w:tr w:rsidR="00637D3F" w:rsidRPr="00C06901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D3F" w:rsidRPr="00C06901" w:rsidRDefault="00AE2F58" w:rsidP="00637D3F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9.</w:t>
            </w:r>
            <w:r w:rsidR="00287355"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Liczba godzin z przedmiotu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37D3F" w:rsidRPr="00C06901" w:rsidRDefault="00723974" w:rsidP="00AE2F58">
            <w:pPr>
              <w:pStyle w:val="Akapitzlist"/>
              <w:ind w:left="0"/>
              <w:jc w:val="center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D3F" w:rsidRPr="00C06901" w:rsidRDefault="00AE2F58" w:rsidP="001018DD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10.</w:t>
            </w:r>
            <w:r w:rsidR="00DB3086"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Liczba punktów ECTS dla przedmiotu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37D3F" w:rsidRPr="00C06901" w:rsidRDefault="00AE2F58" w:rsidP="00AE2F58">
            <w:pPr>
              <w:pStyle w:val="Akapitzlist"/>
              <w:spacing w:line="100" w:lineRule="atLeast"/>
              <w:ind w:left="0"/>
              <w:jc w:val="center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3</w:t>
            </w:r>
          </w:p>
        </w:tc>
      </w:tr>
      <w:tr w:rsidR="008E3729" w:rsidRPr="00C06901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E3729" w:rsidRPr="00C06901" w:rsidRDefault="008E3729" w:rsidP="00FA53D9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11.  </w:t>
            </w:r>
            <w:r w:rsidR="001018DD" w:rsidRPr="00C06901">
              <w:rPr>
                <w:rFonts w:cs="Times New Roman"/>
                <w:b/>
                <w:sz w:val="22"/>
                <w:szCs w:val="22"/>
              </w:rPr>
              <w:t xml:space="preserve">Forma zaliczenia przedmiotu: </w:t>
            </w:r>
            <w:r w:rsidR="001018DD" w:rsidRPr="00C06901">
              <w:rPr>
                <w:rFonts w:cs="Times New Roman"/>
                <w:sz w:val="22"/>
                <w:szCs w:val="22"/>
              </w:rPr>
              <w:t>egzamin</w:t>
            </w:r>
            <w:r w:rsidR="000E7328" w:rsidRPr="00C06901">
              <w:rPr>
                <w:rFonts w:cs="Times New Roman"/>
                <w:sz w:val="22"/>
                <w:szCs w:val="22"/>
              </w:rPr>
              <w:t xml:space="preserve"> zintegrowany</w:t>
            </w:r>
          </w:p>
        </w:tc>
      </w:tr>
      <w:tr w:rsidR="001018DD" w:rsidRPr="00C06901" w:rsidTr="00301F0D">
        <w:tc>
          <w:tcPr>
            <w:tcW w:w="97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8DD" w:rsidRPr="00C06901" w:rsidRDefault="001018DD" w:rsidP="000919A0">
            <w:pPr>
              <w:pStyle w:val="Akapitzlist"/>
              <w:spacing w:line="100" w:lineRule="atLeast"/>
              <w:ind w:left="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E3729" w:rsidRPr="00C06901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Efekty uczenia się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Sposoby weryfikacji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Sposoby oceny*</w:t>
            </w:r>
          </w:p>
        </w:tc>
      </w:tr>
      <w:tr w:rsidR="008E3729" w:rsidRPr="00C06901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pStyle w:val="Akapitzlist"/>
              <w:spacing w:line="100" w:lineRule="atLeast"/>
              <w:ind w:left="0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W zakresie wiedzy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widowControl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Test pisemny- jednokrotnego wyboru</w:t>
            </w:r>
          </w:p>
          <w:p w:rsidR="008E3729" w:rsidRPr="00C06901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Analiza i dyskusja  w oparciu o EBM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E3729" w:rsidRPr="00C06901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ind w:left="5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W zakresie umiejętności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widowControl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Realizacja zleconego zadania</w:t>
            </w:r>
            <w:r w:rsidR="007E038B" w:rsidRPr="00C06901">
              <w:rPr>
                <w:rFonts w:cs="Times New Roman"/>
                <w:color w:val="000000" w:themeColor="text1"/>
                <w:sz w:val="22"/>
                <w:szCs w:val="22"/>
              </w:rPr>
              <w:t>,</w:t>
            </w:r>
          </w:p>
          <w:p w:rsidR="008E3729" w:rsidRPr="00C06901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dyskusja  w oparciu o EBM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E3729" w:rsidRPr="00C06901" w:rsidTr="00301F0D"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ind w:left="57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W zakresie kompetencji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3729" w:rsidRPr="00C06901" w:rsidRDefault="00301F0D" w:rsidP="000919A0">
            <w:pPr>
              <w:spacing w:line="100" w:lineRule="atLeas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color w:val="000000" w:themeColor="text1"/>
                <w:sz w:val="22"/>
                <w:szCs w:val="22"/>
              </w:rPr>
              <w:t>O</w:t>
            </w:r>
            <w:r w:rsidR="008E3729" w:rsidRPr="00C06901">
              <w:rPr>
                <w:rFonts w:cs="Times New Roman"/>
                <w:color w:val="000000" w:themeColor="text1"/>
                <w:sz w:val="22"/>
                <w:szCs w:val="22"/>
              </w:rPr>
              <w:t>bserwacja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3729" w:rsidRPr="00C06901" w:rsidRDefault="008E3729" w:rsidP="000919A0">
            <w:pPr>
              <w:spacing w:line="100" w:lineRule="atLeast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C06901">
              <w:rPr>
                <w:rFonts w:cs="Times New Roman"/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:rsidR="00C06901" w:rsidRDefault="00C06901" w:rsidP="008E3729">
      <w:pPr>
        <w:rPr>
          <w:rFonts w:cs="Times New Roman"/>
          <w:b/>
          <w:color w:val="000000" w:themeColor="text1"/>
          <w:sz w:val="22"/>
          <w:szCs w:val="22"/>
        </w:rPr>
      </w:pPr>
    </w:p>
    <w:p w:rsidR="008E3729" w:rsidRDefault="008E3729" w:rsidP="008E3729">
      <w:pPr>
        <w:rPr>
          <w:rFonts w:cs="Times New Roman"/>
          <w:b/>
          <w:color w:val="000000" w:themeColor="text1"/>
          <w:sz w:val="22"/>
          <w:szCs w:val="22"/>
        </w:rPr>
      </w:pPr>
    </w:p>
    <w:p w:rsidR="00C06901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C06901" w:rsidRPr="00F11F8C" w:rsidRDefault="00C06901" w:rsidP="00C06901">
      <w:pPr>
        <w:autoSpaceDE w:val="0"/>
        <w:autoSpaceDN w:val="0"/>
        <w:adjustRightInd w:val="0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C06901" w:rsidRPr="00C06901" w:rsidRDefault="00C06901" w:rsidP="00C06901">
      <w:pPr>
        <w:rPr>
          <w:rFonts w:cs="Times New Roman"/>
          <w:color w:val="000000" w:themeColor="text1"/>
          <w:sz w:val="22"/>
          <w:szCs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</w:t>
      </w: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29083B" w:rsidRDefault="0029083B" w:rsidP="008E3729">
      <w:pPr>
        <w:rPr>
          <w:rFonts w:cs="Times New Roman"/>
          <w:color w:val="000000" w:themeColor="text1"/>
          <w:sz w:val="22"/>
          <w:szCs w:val="22"/>
        </w:rPr>
      </w:pPr>
    </w:p>
    <w:p w:rsidR="0029083B" w:rsidRDefault="0029083B" w:rsidP="008E3729">
      <w:pPr>
        <w:rPr>
          <w:rFonts w:cs="Times New Roman"/>
          <w:color w:val="000000" w:themeColor="text1"/>
          <w:sz w:val="22"/>
          <w:szCs w:val="22"/>
        </w:rPr>
      </w:pPr>
    </w:p>
    <w:p w:rsidR="0029083B" w:rsidRDefault="0029083B" w:rsidP="008E3729">
      <w:pPr>
        <w:rPr>
          <w:rFonts w:cs="Times New Roman"/>
          <w:color w:val="000000" w:themeColor="text1"/>
          <w:sz w:val="22"/>
          <w:szCs w:val="22"/>
        </w:rPr>
      </w:pPr>
    </w:p>
    <w:p w:rsidR="0029083B" w:rsidRPr="006931F7" w:rsidRDefault="0029083B" w:rsidP="0029083B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</w:pPr>
      <w:r w:rsidRPr="006931F7"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  <w:lastRenderedPageBreak/>
        <w:t>Karta przedmiotu</w:t>
      </w:r>
    </w:p>
    <w:p w:rsidR="0029083B" w:rsidRPr="006931F7" w:rsidRDefault="0029083B" w:rsidP="0029083B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</w:pPr>
      <w:r w:rsidRPr="006931F7">
        <w:rPr>
          <w:rFonts w:eastAsia="Calibri" w:cs="Times New Roman"/>
          <w:b/>
          <w:color w:val="000000"/>
          <w:kern w:val="0"/>
          <w:sz w:val="28"/>
          <w:szCs w:val="22"/>
          <w:lang w:eastAsia="en-US" w:bidi="ar-SA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9083B" w:rsidRPr="006931F7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Inne przydatne informacje o przedmiocie</w:t>
            </w:r>
          </w:p>
        </w:tc>
      </w:tr>
      <w:tr w:rsidR="0029083B" w:rsidRPr="006931F7" w:rsidTr="002B013F">
        <w:tc>
          <w:tcPr>
            <w:tcW w:w="9748" w:type="dxa"/>
            <w:gridSpan w:val="5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13. Jednostka realizująca przedmiot,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adres, e-mail:</w:t>
            </w:r>
          </w:p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Zakład Fizjoterapii Katedry Fizjoterapii, Katowice, ul. Medyków 12</w:t>
            </w:r>
          </w:p>
          <w:p w:rsidR="0029083B" w:rsidRPr="00723974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23974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e-mail: fizjoterapia@sum.edu.pl</w:t>
            </w:r>
          </w:p>
        </w:tc>
      </w:tr>
      <w:tr w:rsidR="0029083B" w:rsidRPr="006931F7" w:rsidTr="002B013F">
        <w:tc>
          <w:tcPr>
            <w:tcW w:w="9748" w:type="dxa"/>
            <w:gridSpan w:val="5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14. Imię i nazwisko osoby odpowiedzialnej za realizację przedmiotu /koordynatora przedmiotu:</w:t>
            </w:r>
          </w:p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dr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Katarzyna </w:t>
            </w:r>
            <w:proofErr w:type="spellStart"/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Kniaziew</w:t>
            </w:r>
            <w:proofErr w:type="spellEnd"/>
          </w:p>
        </w:tc>
      </w:tr>
      <w:tr w:rsidR="0029083B" w:rsidRPr="006931F7" w:rsidTr="002B013F">
        <w:tc>
          <w:tcPr>
            <w:tcW w:w="9748" w:type="dxa"/>
            <w:gridSpan w:val="5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15. Wymagania wstępne w zakresie wiedzy, umiejętności i innych kompetencji:</w:t>
            </w:r>
          </w:p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podstawy anatomii i anatomii funkcjonalnej, fizjologii ogólnej, patofizjologii i biomechaniki; wiedza </w:t>
            </w: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br/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i umiejętności z zakresu klinicznych podstaw fizjoterapii w ortopedii i traumatologii i medycynie sportowej, neurologii i neurochirurgii, reumatologii oraz fizjoterapii klinicznej w dysfunkcjach układu ruchu</w:t>
            </w:r>
          </w:p>
        </w:tc>
      </w:tr>
      <w:tr w:rsidR="0029083B" w:rsidRPr="006931F7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Zgodna z Zarządzeniem Rektora SUM</w:t>
            </w:r>
          </w:p>
        </w:tc>
      </w:tr>
      <w:tr w:rsidR="0029083B" w:rsidRPr="006931F7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Atlasy anatomiczne, podręczniki podane w literaturze - pkt 21; goniometr, miarka centymetrowa, pion, młoteczek do badania neurologicznego</w:t>
            </w:r>
          </w:p>
        </w:tc>
      </w:tr>
      <w:tr w:rsidR="0029083B" w:rsidRPr="006931F7" w:rsidTr="002B013F">
        <w:tc>
          <w:tcPr>
            <w:tcW w:w="3451" w:type="dxa"/>
            <w:gridSpan w:val="2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harmonogramem</w:t>
            </w:r>
          </w:p>
        </w:tc>
      </w:tr>
      <w:tr w:rsidR="0029083B" w:rsidRPr="006931F7" w:rsidTr="002B013F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9083B" w:rsidRPr="006931F7" w:rsidRDefault="0029083B" w:rsidP="002B013F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harmonogramem pracy Zakładu Fizjoterapii</w:t>
            </w:r>
          </w:p>
        </w:tc>
      </w:tr>
      <w:tr w:rsidR="0029083B" w:rsidRPr="006931F7" w:rsidTr="002B013F">
        <w:tc>
          <w:tcPr>
            <w:tcW w:w="9748" w:type="dxa"/>
            <w:gridSpan w:val="5"/>
            <w:shd w:val="clear" w:color="auto" w:fill="D9D9D9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  <w:t>20. Efekty uczenia się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spacing w:line="259" w:lineRule="auto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spacing w:line="259" w:lineRule="auto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jc w:val="center"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Odniesienie do efektów uczenia się zawartych w </w:t>
            </w:r>
            <w:r w:rsidRPr="006931F7">
              <w:rPr>
                <w:rFonts w:eastAsia="Calibri" w:cs="Times New Roman"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(właściwe podkreślić)</w:t>
            </w: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: </w:t>
            </w:r>
            <w:bookmarkStart w:id="0" w:name="_GoBack"/>
            <w:r w:rsidRPr="0029083B">
              <w:rPr>
                <w:rFonts w:eastAsia="Calibri" w:cs="Times New Roman"/>
                <w:color w:val="000000"/>
                <w:kern w:val="0"/>
                <w:sz w:val="22"/>
                <w:szCs w:val="22"/>
                <w:u w:val="single"/>
                <w:lang w:eastAsia="en-US" w:bidi="ar-SA"/>
              </w:rPr>
              <w:t>standardach kształcenia</w:t>
            </w:r>
            <w:bookmarkEnd w:id="0"/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/ </w:t>
            </w:r>
            <w:r w:rsidRPr="0029083B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zatwierdzonych przez Senat SUM</w:t>
            </w:r>
            <w:r w:rsidRPr="00723974">
              <w:rPr>
                <w:rFonts w:eastAsia="Calibri" w:cs="Times New Roman"/>
                <w:color w:val="000000"/>
                <w:kern w:val="0"/>
                <w:sz w:val="22"/>
                <w:szCs w:val="22"/>
                <w:u w:val="single"/>
                <w:lang w:eastAsia="en-US" w:bidi="ar-SA"/>
              </w:rPr>
              <w:t xml:space="preserve"> 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>zasady diagnozowania najczęstszych dysfunkcji układu ruchu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D.W2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>ogólne zasady  przeprowadzania wywiadu , w tym podmiotowego i przedmiotowego badania pacjenta z dysfunkcjami układu ruchu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D.W6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6931F7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zna </w:t>
            </w:r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założenia i zasady Międzynarodowej Klasyfikacji Funkcjonowania, Niepełnosprawności i Zdrowia (International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Classification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Functioning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Disability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6931F7">
              <w:rPr>
                <w:rFonts w:cs="Times New Roman"/>
                <w:color w:val="000000"/>
                <w:sz w:val="22"/>
                <w:szCs w:val="22"/>
              </w:rPr>
              <w:t>Health</w:t>
            </w:r>
            <w:proofErr w:type="spellEnd"/>
            <w:r w:rsidRPr="006931F7">
              <w:rPr>
                <w:rFonts w:cs="Times New Roman"/>
                <w:color w:val="000000"/>
                <w:sz w:val="22"/>
                <w:szCs w:val="22"/>
              </w:rPr>
              <w:t>, ICF)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6931F7" w:rsidRDefault="0029083B" w:rsidP="002B013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931F7">
              <w:rPr>
                <w:rFonts w:cs="Times New Roman"/>
                <w:color w:val="000000"/>
                <w:sz w:val="22"/>
                <w:szCs w:val="22"/>
              </w:rPr>
              <w:t>D.W16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umie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przeprowadzić szczegółowe badanie dla potrzeb fizjoterapii i testy funkcjonalne układu ruchu, w tym dla głowy, szyi, tułowia oraz kończyn górnych i dolnych u pacjentów z dysfunkcjami układu ruchu oraz zapisać i zinterpretować jego wyniki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D.U1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Student umie  zanalizować proste i złożone ruchy człowieka pod kątem parametrów biomechanicznych z  uwzględnieniem warunków prawidłowych oraz dysfunkcji układu ruchu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D.U2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Default="0029083B" w:rsidP="002B013F"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P_U03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 ocenić stan układu ruchu człowieka  z uwzględnieniem  statyki i dynamiki (badanie ogólne, odcinkowe, miejscowe) oraz  zanalizować  chód  i zinterpretować uzyskane wyniki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D.U3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01436A" w:rsidRDefault="0029083B" w:rsidP="002B013F">
            <w:pPr>
              <w:rPr>
                <w:sz w:val="22"/>
                <w:szCs w:val="22"/>
              </w:rPr>
            </w:pPr>
            <w:r w:rsidRPr="000143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P_U04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4517"/>
              </w:tabs>
              <w:spacing w:line="240" w:lineRule="exact"/>
              <w:jc w:val="both"/>
              <w:rPr>
                <w:rFonts w:eastAsia="Times New Roman" w:cs="Times New Roman"/>
                <w:noProof/>
                <w:color w:val="000000"/>
                <w:sz w:val="20"/>
                <w:szCs w:val="20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przeprowadzić całościową ocenę pacjenta i interpretować jej wyniki w różnych dysfunkcjach układu ruchu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D.U8.;D.U12</w:t>
            </w:r>
          </w:p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D.U.28;D.U44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01436A" w:rsidRDefault="0029083B" w:rsidP="002B013F">
            <w:pPr>
              <w:rPr>
                <w:sz w:val="22"/>
                <w:szCs w:val="22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 xml:space="preserve"> P_U05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stosować Międzynarodową Klasyfikację Funkcjonowania, Niepełnosprawności i Zdrowia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lastRenderedPageBreak/>
              <w:t xml:space="preserve">(International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Classification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Functioning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Disability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01436A">
              <w:rPr>
                <w:rFonts w:cs="Times New Roman"/>
                <w:color w:val="000000"/>
                <w:sz w:val="22"/>
                <w:szCs w:val="22"/>
              </w:rPr>
              <w:t>Health</w:t>
            </w:r>
            <w:proofErr w:type="spellEnd"/>
            <w:r w:rsidRPr="0001436A">
              <w:rPr>
                <w:rFonts w:cs="Times New Roman"/>
                <w:color w:val="000000"/>
                <w:sz w:val="22"/>
                <w:szCs w:val="22"/>
              </w:rPr>
              <w:t>, ICF)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lastRenderedPageBreak/>
              <w:t>D.U39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01436A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P_U06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>Student potrafi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prawidłowo komunikować się  z pacjentem oraz  z innymi osobami wchodzącymi w  skład  zespołu  medycznego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D.U47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01436A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P_K01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zna i stosuje zasady etyki zawodowej oraz przestrzega praw pacjenta.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OK_K04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P_K02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dokonuje samooceny i jest świadomy swoich ograniczeń, stale podnosząc poziom wiedzy i umiejętności. 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P_K03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sz w:val="22"/>
                <w:szCs w:val="22"/>
              </w:rPr>
              <w:t>Student</w:t>
            </w:r>
            <w:r w:rsidRPr="0001436A">
              <w:rPr>
                <w:rFonts w:cs="Times New Roman"/>
                <w:sz w:val="22"/>
                <w:szCs w:val="22"/>
              </w:rPr>
              <w:t xml:space="preserve"> jest świadomy konieczności korzystania z wiarygodnych źródeł informacji, w tym szacowania </w:t>
            </w:r>
            <w:proofErr w:type="spellStart"/>
            <w:r w:rsidRPr="0001436A">
              <w:rPr>
                <w:rFonts w:cs="Times New Roman"/>
                <w:i/>
                <w:iCs/>
                <w:sz w:val="22"/>
                <w:szCs w:val="22"/>
              </w:rPr>
              <w:t>fake</w:t>
            </w:r>
            <w:proofErr w:type="spellEnd"/>
            <w:r w:rsidRPr="0001436A">
              <w:rPr>
                <w:rFonts w:cs="Times New Roman"/>
                <w:i/>
                <w:iCs/>
                <w:sz w:val="22"/>
                <w:szCs w:val="22"/>
              </w:rPr>
              <w:t xml:space="preserve"> news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29083B" w:rsidRPr="006931F7" w:rsidTr="002B013F">
        <w:tc>
          <w:tcPr>
            <w:tcW w:w="1778" w:type="dxa"/>
            <w:shd w:val="clear" w:color="auto" w:fill="auto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P_K04</w:t>
            </w:r>
          </w:p>
        </w:tc>
        <w:tc>
          <w:tcPr>
            <w:tcW w:w="552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both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bCs/>
                <w:color w:val="000000"/>
                <w:sz w:val="22"/>
                <w:szCs w:val="22"/>
              </w:rPr>
              <w:t xml:space="preserve">Student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poznaje różne aspekty pracy fizjoterapeuty i na tej postawie formułuje swoją opinię</w:t>
            </w:r>
          </w:p>
        </w:tc>
        <w:tc>
          <w:tcPr>
            <w:tcW w:w="24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220"/>
                <w:tab w:val="left" w:pos="720"/>
              </w:tabs>
              <w:autoSpaceDE w:val="0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 w:themeColor="text1"/>
                <w:sz w:val="22"/>
                <w:szCs w:val="22"/>
              </w:rPr>
              <w:t>OK_K08</w:t>
            </w:r>
          </w:p>
        </w:tc>
      </w:tr>
      <w:tr w:rsidR="0029083B" w:rsidRPr="006931F7" w:rsidTr="002B013F">
        <w:tc>
          <w:tcPr>
            <w:tcW w:w="8695" w:type="dxa"/>
            <w:gridSpan w:val="4"/>
            <w:shd w:val="clear" w:color="auto" w:fill="D9D9D9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29083B" w:rsidRPr="006931F7" w:rsidRDefault="0029083B" w:rsidP="002B013F">
            <w:pPr>
              <w:widowControl/>
              <w:suppressAutoHyphens w:val="0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Liczba godzin</w:t>
            </w:r>
          </w:p>
        </w:tc>
      </w:tr>
      <w:tr w:rsidR="0029083B" w:rsidRPr="006931F7" w:rsidTr="002B013F">
        <w:tc>
          <w:tcPr>
            <w:tcW w:w="8695" w:type="dxa"/>
            <w:gridSpan w:val="4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jc w:val="center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24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w oparciu o ICF, kliniczne metody pomiarowe oraz techniki pomiarowe z użyciem specjalnej aparatury i ich rola.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T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esty kliniczne i funkcjonalne, kliniczne metody pomiarowe, zna rolę  technik obrazowania (USG,RTG,TK,MR) i innych badań dodatkowych w ocenie dysfunkcji narządu ruchu i stanu chorego oraz zna sposoby  monitorowania skuteczności prowadzonej rehabilitacji.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Rola technik obrazowania (USG,TK,MR) i innych badań dodatkowych w ocenie dysfunkcji narządu ruchu i stanu chorego oraz monitorowania skuteczności prowadzonej rehabilitacji. </w:t>
            </w:r>
            <w:r w:rsidRPr="0001436A">
              <w:rPr>
                <w:rFonts w:cs="Times New Roman"/>
                <w:sz w:val="22"/>
                <w:szCs w:val="22"/>
              </w:rPr>
              <w:t>Skuteczność fizjoterapii w dysfunkcjach układu ruchu w badaniach naukowych na przykładzie prac naukowych.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Praktyczne wykorzystanie metod diagnostyki funkcjonalnej przy ustalaniu programów rehabilitacji w tym zaleceń do ćwiczeń w warunkach domowych.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Omówienie  błędów popełnianych  w trakcie przeprowadzania testów oraz błędy popełniane podczas interpretacji wyników.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funkcjonalne u pacjentów z  dysfunkcjami układu ruchu  </w:t>
            </w: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br/>
              <w:t>w oparciu o ICF.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21.2. </w:t>
            </w: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Zajęcia praktyczne</w:t>
            </w:r>
          </w:p>
        </w:tc>
        <w:tc>
          <w:tcPr>
            <w:tcW w:w="1053" w:type="dxa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jc w:val="center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dla głowy i szyi oraz  tułowia, ich charakterystyka, wykonanie oraz ich interpretacja, w oparciu o ICF . </w:t>
            </w:r>
          </w:p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Proste testy kliniczne znajdujące zastosowanie w kwalifikacji do fizjoterapii oraz ocenie jej skuteczności. Program rehabilitacji pacjenta, w tym zalecenia do domu.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8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Testy kliniczne i funkcjonalne dla kończyny górnej, ich charakterystyka, wykonanie oraz ich interpretacja w oparciu o ICF. Proste testy kliniczne znajdujące zastosowanie w kwalifikacji do fizjoterapii oraz ocenie jej skuteczności. Program rehabilitacji pacjenta, w tym zalecenia do domu.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Testy kliniczne i funkcjonalne dla kończyny dolnej, ich charakterystyka, wykonanie oraz ich interpretacja w oparciu o ICF. Proste testy kliniczne znajdujące zastosowanie w kwalifikacji do fizjoterapii oraz ocenie jej skuteczności. Program rehabilitacji pacjenta, w tym zalecenia do ćwiczeń w domu.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Analiza chodu w praktyce na podstawie tzw. wyznaczników chodu 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869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Globalna ocena pacjenta i interpretacja wyników w dysfunkcjach układu ruchu pochodzenia: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7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neurologicznego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(1. ośrodkowego np. ocena napięcia mięśniowego oraz funkcji ciała </w:t>
            </w:r>
          </w:p>
          <w:p w:rsidR="0029083B" w:rsidRPr="0001436A" w:rsidRDefault="0029083B" w:rsidP="002B013F">
            <w:pPr>
              <w:pStyle w:val="Akapitzlist"/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i aktywności; 2.obwodowego  m.in. objawów oponowych i korzeniowych w schorzeniach kręgosłupa szczególnie  w oparciu o wyniki badania obrazowego ;  oraz w uszkodzeniach  i chorobach gałęzi  nerwów obwodowych); 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8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reumatoidalnego i chorób zapalnych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(badanie stawów, kości i mięśni z wykorzystaniem testów klinicznych;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ocena stopnia uszkodzenia stawów i ich deformacji, funkcji ręki oraz lokomocji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),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8"/>
              </w:numPr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urazowego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(badanie stawów, kości i mięśni z wykorzystaniem testów klinicznych </w:t>
            </w:r>
          </w:p>
          <w:p w:rsidR="0029083B" w:rsidRPr="0001436A" w:rsidRDefault="0029083B" w:rsidP="002B013F">
            <w:pPr>
              <w:pStyle w:val="Akapitzlist"/>
              <w:tabs>
                <w:tab w:val="left" w:pos="4517"/>
              </w:tabs>
              <w:spacing w:line="240" w:lineRule="exac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i funkcjonalnych);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i/>
                <w:color w:val="000000"/>
                <w:sz w:val="22"/>
                <w:szCs w:val="22"/>
              </w:rPr>
              <w:t>wieloukładowego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(potrafi wykonać próby podstawowe czynnościowe związane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br/>
              <w:t xml:space="preserve">z obciążaniem wysiłkiem, potrafi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>przeprowadzić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całościową 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>ocenę</w:t>
            </w:r>
            <w:r w:rsidRPr="0001436A">
              <w:rPr>
                <w:rFonts w:eastAsia="Times New Roman" w:cs="Times New Roman"/>
                <w:noProof/>
                <w:color w:val="000000"/>
                <w:spacing w:val="1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geriatryczną </w:t>
            </w:r>
          </w:p>
          <w:p w:rsidR="0029083B" w:rsidRPr="0001436A" w:rsidRDefault="0029083B" w:rsidP="002B013F">
            <w:pPr>
              <w:pStyle w:val="Akapitzlist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>oraz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 xml:space="preserve"> </w:t>
            </w:r>
            <w:r w:rsidRPr="0001436A">
              <w:rPr>
                <w:rFonts w:eastAsia="Times New Roman" w:cs="Times New Roman"/>
                <w:noProof/>
                <w:color w:val="000000"/>
                <w:spacing w:val="-1"/>
                <w:sz w:val="22"/>
                <w:szCs w:val="22"/>
              </w:rPr>
              <w:t xml:space="preserve">interpretować </w:t>
            </w:r>
            <w:r w:rsidRPr="0001436A">
              <w:rPr>
                <w:rFonts w:eastAsia="Times New Roman" w:cs="Times New Roman"/>
                <w:noProof/>
                <w:color w:val="000000"/>
                <w:sz w:val="22"/>
                <w:szCs w:val="22"/>
              </w:rPr>
              <w:t>jej wyniki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>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83B" w:rsidRPr="0001436A" w:rsidRDefault="0029083B" w:rsidP="002B013F">
            <w:pPr>
              <w:snapToGrid w:val="0"/>
              <w:ind w:left="57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</w:rPr>
              <w:t>6</w:t>
            </w:r>
          </w:p>
        </w:tc>
      </w:tr>
      <w:tr w:rsidR="0029083B" w:rsidRPr="006931F7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lastRenderedPageBreak/>
              <w:t>22. Literatura</w:t>
            </w:r>
          </w:p>
        </w:tc>
      </w:tr>
      <w:tr w:rsidR="0029083B" w:rsidRPr="00224353" w:rsidTr="002B013F">
        <w:tc>
          <w:tcPr>
            <w:tcW w:w="9748" w:type="dxa"/>
            <w:gridSpan w:val="5"/>
            <w:shd w:val="clear" w:color="auto" w:fill="auto"/>
            <w:vAlign w:val="center"/>
          </w:tcPr>
          <w:p w:rsidR="0029083B" w:rsidRPr="0001436A" w:rsidRDefault="0029083B" w:rsidP="002B013F">
            <w:pPr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>Literatura podstawowa</w:t>
            </w:r>
            <w:r w:rsidRPr="0001436A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: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9"/>
              </w:num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Backup K.: Testy kliniczne w badaniu kości mięśni i stawów. PZWL, Warszawa 2005.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cs="Times New Roman"/>
                <w:sz w:val="22"/>
                <w:szCs w:val="22"/>
              </w:rPr>
            </w:pPr>
            <w:r w:rsidRPr="0001436A">
              <w:rPr>
                <w:rFonts w:cs="Times New Roman"/>
                <w:sz w:val="22"/>
                <w:szCs w:val="22"/>
              </w:rPr>
              <w:t>Skolimowski T., Badania czynnościowe narządu ruchu w fizjoterapii, AWF Wrocław 2009.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Hepp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W.R.,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Debrunner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H.U.: Diagnostyka w ortopedii. PZWL, Warszawa 2008.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Nicola J.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Petty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: Badanie i ocena narządu ruchu.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Elsevier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Urban&amp;Partner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, Wrocław 2010.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9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Seyed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Behrooz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, Mostowi : Szybka diagnoza w ortopedii. PZWL, Warszawa 2011. </w:t>
            </w:r>
          </w:p>
          <w:p w:rsidR="0029083B" w:rsidRPr="0001436A" w:rsidRDefault="0029083B" w:rsidP="002B013F">
            <w:pPr>
              <w:autoSpaceDE w:val="0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>Literatura uzupełniająca: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Błaszczyk J.W.: Biomechanika kliniczna. PZWL, Warszawa 2004..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Nowotny J.,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Saulicz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E.: Niektóre zaburzenia statyki ciała i ich korekcja. Wyd. AWF, Katowice 1998.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Pąchalski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A. i </w:t>
            </w:r>
            <w:proofErr w:type="spellStart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wsp</w:t>
            </w:r>
            <w:proofErr w:type="spellEnd"/>
            <w:r w:rsidRPr="0001436A">
              <w:rPr>
                <w:rFonts w:eastAsia="Times New Roman" w:cs="Times New Roman"/>
                <w:color w:val="000000"/>
                <w:sz w:val="22"/>
                <w:szCs w:val="22"/>
              </w:rPr>
              <w:t>.: Metody badania narządu ruchu w rehabilitacji klinicznej. AWF, Kraków, 1991.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cs="Times New Roman"/>
                <w:sz w:val="22"/>
                <w:szCs w:val="22"/>
              </w:rPr>
            </w:pPr>
            <w:proofErr w:type="spellStart"/>
            <w:r w:rsidRPr="0001436A">
              <w:rPr>
                <w:rFonts w:cs="Times New Roman"/>
                <w:sz w:val="22"/>
                <w:szCs w:val="22"/>
              </w:rPr>
              <w:t>Brotzman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S.B., Wilk K.E. (red. wyd. polskiego: Dziak A.), Rehabilitacja Ortopedyczna,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Elsevier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Urban &amp;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Parnter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, 2008; Tom I </w:t>
            </w:r>
            <w:proofErr w:type="spellStart"/>
            <w:r w:rsidRPr="0001436A">
              <w:rPr>
                <w:rFonts w:cs="Times New Roman"/>
                <w:sz w:val="22"/>
                <w:szCs w:val="22"/>
              </w:rPr>
              <w:t>i</w:t>
            </w:r>
            <w:proofErr w:type="spellEnd"/>
            <w:r w:rsidRPr="0001436A">
              <w:rPr>
                <w:rFonts w:cs="Times New Roman"/>
                <w:sz w:val="22"/>
                <w:szCs w:val="22"/>
              </w:rPr>
              <w:t xml:space="preserve"> II. </w:t>
            </w:r>
          </w:p>
          <w:p w:rsidR="0029083B" w:rsidRPr="0001436A" w:rsidRDefault="0029083B" w:rsidP="0029083B">
            <w:pPr>
              <w:pStyle w:val="Akapitzlist"/>
              <w:numPr>
                <w:ilvl w:val="0"/>
                <w:numId w:val="10"/>
              </w:numPr>
              <w:autoSpaceDE w:val="0"/>
              <w:rPr>
                <w:rFonts w:cs="Times New Roman"/>
                <w:color w:val="000000"/>
                <w:sz w:val="22"/>
                <w:szCs w:val="22"/>
              </w:rPr>
            </w:pPr>
            <w:r w:rsidRPr="0001436A">
              <w:rPr>
                <w:rFonts w:cs="Times New Roman"/>
                <w:sz w:val="22"/>
                <w:szCs w:val="22"/>
              </w:rPr>
              <w:t xml:space="preserve">Nowotny J., Podstawy Fizjoterapii, KASPER, Kraków 2004. </w:t>
            </w:r>
            <w:r w:rsidRPr="0001436A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:rsidR="0029083B" w:rsidRPr="006931F7" w:rsidRDefault="0029083B" w:rsidP="002B013F">
            <w:pPr>
              <w:widowControl/>
              <w:suppressAutoHyphens w:val="0"/>
              <w:ind w:left="360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WHO - ICF : </w:t>
            </w:r>
            <w:hyperlink r:id="rId8" w:history="1">
              <w:r w:rsidRPr="0001436A">
                <w:rPr>
                  <w:rStyle w:val="Hipercze"/>
                  <w:rFonts w:cs="Times New Roman"/>
                  <w:color w:val="000000"/>
                  <w:sz w:val="22"/>
                  <w:szCs w:val="22"/>
                  <w:lang w:val="en-GB"/>
                </w:rPr>
                <w:t>https://www.who.int/classifications/icf/en/</w:t>
              </w:r>
            </w:hyperlink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  </w:t>
            </w:r>
            <w:proofErr w:type="spellStart"/>
            <w:r>
              <w:rPr>
                <w:rFonts w:cs="Times New Roman"/>
                <w:color w:val="000000"/>
                <w:sz w:val="22"/>
                <w:szCs w:val="22"/>
                <w:lang w:val="en-GB"/>
              </w:rPr>
              <w:t>oraz</w:t>
            </w:r>
            <w:proofErr w:type="spellEnd"/>
            <w:r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 </w:t>
            </w:r>
            <w:r w:rsidRPr="0001436A">
              <w:rPr>
                <w:rFonts w:cs="Times New Roman"/>
                <w:color w:val="000000"/>
                <w:sz w:val="22"/>
                <w:szCs w:val="22"/>
                <w:lang w:val="en-GB"/>
              </w:rPr>
              <w:t xml:space="preserve">https://www.csioz.gov.pl/fileadmin/user_upload/Wytyczne/statystyka/icf_polish_version_56a8f7984213a.pdf </w:t>
            </w:r>
            <w:r w:rsidRPr="0001436A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                                                                          </w:t>
            </w:r>
          </w:p>
        </w:tc>
      </w:tr>
      <w:tr w:rsidR="0029083B" w:rsidRPr="006931F7" w:rsidTr="002B013F">
        <w:tc>
          <w:tcPr>
            <w:tcW w:w="9748" w:type="dxa"/>
            <w:gridSpan w:val="5"/>
            <w:shd w:val="clear" w:color="auto" w:fill="BFBFBF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b/>
                <w:color w:val="000000"/>
                <w:kern w:val="0"/>
                <w:sz w:val="22"/>
                <w:szCs w:val="22"/>
                <w:lang w:eastAsia="en-US" w:bidi="ar-SA"/>
              </w:rPr>
              <w:t>23. Kryteria oceny – szczegóły</w:t>
            </w:r>
          </w:p>
        </w:tc>
      </w:tr>
      <w:tr w:rsidR="0029083B" w:rsidRPr="006931F7" w:rsidTr="002B013F">
        <w:tc>
          <w:tcPr>
            <w:tcW w:w="9748" w:type="dxa"/>
            <w:gridSpan w:val="5"/>
            <w:vAlign w:val="center"/>
          </w:tcPr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Zgodnie z zaleceniami organów kontrolujących.</w:t>
            </w:r>
          </w:p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Zaliczenie przedmiotu - student osiągnął zakładane efekty uczenia się.</w:t>
            </w:r>
          </w:p>
          <w:p w:rsidR="0029083B" w:rsidRPr="006931F7" w:rsidRDefault="0029083B" w:rsidP="002B013F">
            <w:pPr>
              <w:widowControl/>
              <w:suppressAutoHyphens w:val="0"/>
              <w:ind w:left="57"/>
              <w:contextualSpacing/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931F7">
              <w:rPr>
                <w:rFonts w:eastAsia="Calibri" w:cs="Times New Roman"/>
                <w:color w:val="000000"/>
                <w:kern w:val="0"/>
                <w:sz w:val="22"/>
                <w:szCs w:val="22"/>
                <w:lang w:eastAsia="en-US" w:bidi="ar-SA"/>
              </w:rPr>
              <w:t>Szczegółowe kryteria zaliczenia i oceny z przedmiotu są zamieszczone w regulaminie przedmiotu.</w:t>
            </w:r>
          </w:p>
        </w:tc>
      </w:tr>
    </w:tbl>
    <w:p w:rsidR="0029083B" w:rsidRPr="00C06901" w:rsidRDefault="0029083B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p w:rsidR="006931F7" w:rsidRPr="00C06901" w:rsidRDefault="006931F7" w:rsidP="008E3729">
      <w:pPr>
        <w:rPr>
          <w:rFonts w:cs="Times New Roman"/>
          <w:color w:val="000000" w:themeColor="text1"/>
          <w:sz w:val="22"/>
          <w:szCs w:val="22"/>
        </w:rPr>
      </w:pPr>
    </w:p>
    <w:sectPr w:rsidR="006931F7" w:rsidRPr="00C06901" w:rsidSect="00A8495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A86026"/>
    <w:multiLevelType w:val="hybridMultilevel"/>
    <w:tmpl w:val="C18A6E2A"/>
    <w:lvl w:ilvl="0" w:tplc="B0486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84697"/>
    <w:multiLevelType w:val="hybridMultilevel"/>
    <w:tmpl w:val="DF42847A"/>
    <w:lvl w:ilvl="0" w:tplc="B0486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6D83"/>
    <w:multiLevelType w:val="hybridMultilevel"/>
    <w:tmpl w:val="07BC0BA6"/>
    <w:lvl w:ilvl="0" w:tplc="33E899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1DFF"/>
    <w:multiLevelType w:val="hybridMultilevel"/>
    <w:tmpl w:val="CAF25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62477"/>
    <w:multiLevelType w:val="hybridMultilevel"/>
    <w:tmpl w:val="3B5CB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F0"/>
    <w:rsid w:val="00004DB2"/>
    <w:rsid w:val="0001436A"/>
    <w:rsid w:val="000E7328"/>
    <w:rsid w:val="001018DD"/>
    <w:rsid w:val="00122568"/>
    <w:rsid w:val="0012403D"/>
    <w:rsid w:val="0019212E"/>
    <w:rsid w:val="001B06F1"/>
    <w:rsid w:val="001F260F"/>
    <w:rsid w:val="00224353"/>
    <w:rsid w:val="002309BB"/>
    <w:rsid w:val="00237F3A"/>
    <w:rsid w:val="00287355"/>
    <w:rsid w:val="0029083B"/>
    <w:rsid w:val="002947B9"/>
    <w:rsid w:val="002C713E"/>
    <w:rsid w:val="00301F0D"/>
    <w:rsid w:val="003B2A36"/>
    <w:rsid w:val="003C0133"/>
    <w:rsid w:val="004417C6"/>
    <w:rsid w:val="00493C1C"/>
    <w:rsid w:val="0058187B"/>
    <w:rsid w:val="005B6FA2"/>
    <w:rsid w:val="005D635E"/>
    <w:rsid w:val="00605CED"/>
    <w:rsid w:val="00637D3F"/>
    <w:rsid w:val="00663792"/>
    <w:rsid w:val="00670E43"/>
    <w:rsid w:val="00680239"/>
    <w:rsid w:val="006931F7"/>
    <w:rsid w:val="006954C4"/>
    <w:rsid w:val="007068C6"/>
    <w:rsid w:val="00723974"/>
    <w:rsid w:val="007E038B"/>
    <w:rsid w:val="008524E2"/>
    <w:rsid w:val="00865928"/>
    <w:rsid w:val="0088460F"/>
    <w:rsid w:val="00887389"/>
    <w:rsid w:val="008B2AE9"/>
    <w:rsid w:val="008B2D8A"/>
    <w:rsid w:val="008C634E"/>
    <w:rsid w:val="008E3729"/>
    <w:rsid w:val="008F2B80"/>
    <w:rsid w:val="0099202E"/>
    <w:rsid w:val="009F762D"/>
    <w:rsid w:val="00A610EF"/>
    <w:rsid w:val="00A75CA3"/>
    <w:rsid w:val="00A8495F"/>
    <w:rsid w:val="00AE2F58"/>
    <w:rsid w:val="00B12E51"/>
    <w:rsid w:val="00B35550"/>
    <w:rsid w:val="00B6160E"/>
    <w:rsid w:val="00B84CB4"/>
    <w:rsid w:val="00B85BD7"/>
    <w:rsid w:val="00BD7EE7"/>
    <w:rsid w:val="00BE06AF"/>
    <w:rsid w:val="00C06901"/>
    <w:rsid w:val="00C809E4"/>
    <w:rsid w:val="00C82A7B"/>
    <w:rsid w:val="00CC64BA"/>
    <w:rsid w:val="00CF69E1"/>
    <w:rsid w:val="00D27BCC"/>
    <w:rsid w:val="00D327F0"/>
    <w:rsid w:val="00D3610B"/>
    <w:rsid w:val="00D70330"/>
    <w:rsid w:val="00DB3086"/>
    <w:rsid w:val="00DC5259"/>
    <w:rsid w:val="00DD0700"/>
    <w:rsid w:val="00DE18EC"/>
    <w:rsid w:val="00E767AD"/>
    <w:rsid w:val="00EF6E76"/>
    <w:rsid w:val="00F60F32"/>
    <w:rsid w:val="00F734C9"/>
    <w:rsid w:val="00FA53D9"/>
    <w:rsid w:val="00FC2731"/>
    <w:rsid w:val="00FC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6ECD7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495F"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2">
    <w:name w:val="Odwołanie do komentarza2"/>
    <w:rsid w:val="00A8495F"/>
    <w:rPr>
      <w:sz w:val="16"/>
      <w:szCs w:val="16"/>
    </w:rPr>
  </w:style>
  <w:style w:type="character" w:customStyle="1" w:styleId="Odwoaniedokomentarza1">
    <w:name w:val="Odwołanie do komentarza1"/>
    <w:rsid w:val="00A8495F"/>
    <w:rPr>
      <w:sz w:val="16"/>
      <w:szCs w:val="16"/>
    </w:rPr>
  </w:style>
  <w:style w:type="character" w:customStyle="1" w:styleId="WW8Num1z0">
    <w:name w:val="WW8Num1z0"/>
    <w:rsid w:val="00A8495F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8495F"/>
  </w:style>
  <w:style w:type="character" w:customStyle="1" w:styleId="WW8Num2z1">
    <w:name w:val="WW8Num2z1"/>
    <w:rsid w:val="00A8495F"/>
    <w:rPr>
      <w:rFonts w:ascii="OpenSymbol" w:hAnsi="OpenSymbol" w:cs="OpenSymbol"/>
    </w:rPr>
  </w:style>
  <w:style w:type="character" w:customStyle="1" w:styleId="WW8Num3z0">
    <w:name w:val="WW8Num3z0"/>
    <w:rsid w:val="00A8495F"/>
    <w:rPr>
      <w:b/>
    </w:rPr>
  </w:style>
  <w:style w:type="character" w:customStyle="1" w:styleId="WW8Num3z1">
    <w:name w:val="WW8Num3z1"/>
    <w:rsid w:val="00A8495F"/>
  </w:style>
  <w:style w:type="character" w:customStyle="1" w:styleId="WW8Num3z2">
    <w:name w:val="WW8Num3z2"/>
    <w:rsid w:val="00A8495F"/>
  </w:style>
  <w:style w:type="character" w:customStyle="1" w:styleId="WW8Num3z3">
    <w:name w:val="WW8Num3z3"/>
    <w:rsid w:val="00A8495F"/>
  </w:style>
  <w:style w:type="character" w:customStyle="1" w:styleId="WW8Num3z4">
    <w:name w:val="WW8Num3z4"/>
    <w:rsid w:val="00A8495F"/>
  </w:style>
  <w:style w:type="character" w:customStyle="1" w:styleId="WW8Num3z5">
    <w:name w:val="WW8Num3z5"/>
    <w:rsid w:val="00A8495F"/>
  </w:style>
  <w:style w:type="character" w:customStyle="1" w:styleId="WW8Num3z6">
    <w:name w:val="WW8Num3z6"/>
    <w:rsid w:val="00A8495F"/>
  </w:style>
  <w:style w:type="character" w:customStyle="1" w:styleId="WW8Num3z7">
    <w:name w:val="WW8Num3z7"/>
    <w:rsid w:val="00A8495F"/>
  </w:style>
  <w:style w:type="character" w:customStyle="1" w:styleId="WW8Num3z8">
    <w:name w:val="WW8Num3z8"/>
    <w:rsid w:val="00A8495F"/>
  </w:style>
  <w:style w:type="character" w:customStyle="1" w:styleId="WW8Num4z0">
    <w:name w:val="WW8Num4z0"/>
    <w:rsid w:val="00A8495F"/>
  </w:style>
  <w:style w:type="character" w:customStyle="1" w:styleId="WW8Num4z1">
    <w:name w:val="WW8Num4z1"/>
    <w:rsid w:val="00A8495F"/>
  </w:style>
  <w:style w:type="character" w:customStyle="1" w:styleId="WW8Num4z2">
    <w:name w:val="WW8Num4z2"/>
    <w:rsid w:val="00A8495F"/>
  </w:style>
  <w:style w:type="character" w:customStyle="1" w:styleId="WW8Num4z3">
    <w:name w:val="WW8Num4z3"/>
    <w:rsid w:val="00A8495F"/>
  </w:style>
  <w:style w:type="character" w:customStyle="1" w:styleId="WW8Num4z4">
    <w:name w:val="WW8Num4z4"/>
    <w:rsid w:val="00A8495F"/>
  </w:style>
  <w:style w:type="character" w:customStyle="1" w:styleId="WW8Num4z5">
    <w:name w:val="WW8Num4z5"/>
    <w:rsid w:val="00A8495F"/>
  </w:style>
  <w:style w:type="character" w:customStyle="1" w:styleId="WW8Num4z6">
    <w:name w:val="WW8Num4z6"/>
    <w:rsid w:val="00A8495F"/>
  </w:style>
  <w:style w:type="character" w:customStyle="1" w:styleId="WW8Num4z7">
    <w:name w:val="WW8Num4z7"/>
    <w:rsid w:val="00A8495F"/>
  </w:style>
  <w:style w:type="character" w:customStyle="1" w:styleId="WW8Num4z8">
    <w:name w:val="WW8Num4z8"/>
    <w:rsid w:val="00A8495F"/>
  </w:style>
  <w:style w:type="character" w:customStyle="1" w:styleId="Znakinumeracji">
    <w:name w:val="Znaki numeracji"/>
    <w:rsid w:val="00A8495F"/>
  </w:style>
  <w:style w:type="character" w:styleId="Hipercze">
    <w:name w:val="Hyperlink"/>
    <w:rsid w:val="00A8495F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rsid w:val="00A8495F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A8495F"/>
    <w:pPr>
      <w:spacing w:after="120"/>
    </w:pPr>
  </w:style>
  <w:style w:type="paragraph" w:styleId="Lista">
    <w:name w:val="List"/>
    <w:basedOn w:val="Tekstpodstawowy"/>
    <w:rsid w:val="00A8495F"/>
  </w:style>
  <w:style w:type="paragraph" w:customStyle="1" w:styleId="Podpis1">
    <w:name w:val="Podpis1"/>
    <w:basedOn w:val="Normalny"/>
    <w:rsid w:val="00A8495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8495F"/>
    <w:pPr>
      <w:suppressLineNumbers/>
    </w:pPr>
  </w:style>
  <w:style w:type="paragraph" w:styleId="Akapitzlist">
    <w:name w:val="List Paragraph"/>
    <w:basedOn w:val="Normalny"/>
    <w:uiPriority w:val="34"/>
    <w:qFormat/>
    <w:rsid w:val="00A8495F"/>
    <w:pPr>
      <w:ind w:left="720"/>
    </w:pPr>
  </w:style>
  <w:style w:type="paragraph" w:customStyle="1" w:styleId="Zawartotabeli">
    <w:name w:val="Zawartość tabeli"/>
    <w:basedOn w:val="Normalny"/>
    <w:rsid w:val="00A8495F"/>
    <w:pPr>
      <w:suppressLineNumbers/>
    </w:pPr>
  </w:style>
  <w:style w:type="paragraph" w:customStyle="1" w:styleId="Nagwektabeli">
    <w:name w:val="Nagłówek tabeli"/>
    <w:basedOn w:val="Zawartotabeli"/>
    <w:rsid w:val="00A849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7F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D327F0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F6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classifications/icf/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itefull-cache xmlns="urn:writefull-cache:Suggestions">{"suggestions":{},"typeOfAccount":"premium"}</writefull-cache>
</file>

<file path=customXml/item2.xml><?xml version="1.0" encoding="utf-8"?>
<writefull-cache xmlns="urn:writefull-cache:UserChoices">{}</writefull-cache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43CD5A4-E31B-4CE6-B4D8-541DCE41F57C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797B6861-E43D-46FC-9ED3-42DEAD28BF84}">
  <ds:schemaRefs>
    <ds:schemaRef ds:uri="urn:writefull-cache:UserChoices"/>
  </ds:schemaRefs>
</ds:datastoreItem>
</file>

<file path=customXml/itemProps3.xml><?xml version="1.0" encoding="utf-8"?>
<ds:datastoreItem xmlns:ds="http://schemas.openxmlformats.org/officeDocument/2006/customXml" ds:itemID="{CDA1CC62-7BDE-43AE-B0F5-3CF29E82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1481</Words>
  <Characters>8888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10349</CharactersWithSpaces>
  <SharedDoc>false</SharedDoc>
  <HLinks>
    <vt:vector size="12" baseType="variant">
      <vt:variant>
        <vt:i4>2883675</vt:i4>
      </vt:variant>
      <vt:variant>
        <vt:i4>3</vt:i4>
      </vt:variant>
      <vt:variant>
        <vt:i4>0</vt:i4>
      </vt:variant>
      <vt:variant>
        <vt:i4>5</vt:i4>
      </vt:variant>
      <vt:variant>
        <vt:lpwstr>https://apps.who.int/iris/bitstream/handle/10665/42407/9241545429_pol.pdf?sequence=67</vt:lpwstr>
      </vt:variant>
      <vt:variant>
        <vt:lpwstr/>
      </vt:variant>
      <vt:variant>
        <vt:i4>3866675</vt:i4>
      </vt:variant>
      <vt:variant>
        <vt:i4>0</vt:i4>
      </vt:variant>
      <vt:variant>
        <vt:i4>0</vt:i4>
      </vt:variant>
      <vt:variant>
        <vt:i4>5</vt:i4>
      </vt:variant>
      <vt:variant>
        <vt:lpwstr>https://www.who.int/classifications/icf/en/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 KG</dc:creator>
  <cp:lastModifiedBy>Katarzyna Opiela</cp:lastModifiedBy>
  <cp:revision>5</cp:revision>
  <cp:lastPrinted>1900-12-31T23:00:00Z</cp:lastPrinted>
  <dcterms:created xsi:type="dcterms:W3CDTF">2024-02-23T14:06:00Z</dcterms:created>
  <dcterms:modified xsi:type="dcterms:W3CDTF">2024-08-20T11:34:00Z</dcterms:modified>
</cp:coreProperties>
</file>