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C9082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C90821" w:rsidRDefault="008050C4" w:rsidP="0074572D">
      <w:pPr>
        <w:spacing w:after="160" w:line="259" w:lineRule="auto"/>
        <w:ind w:left="11" w:right="944" w:hanging="11"/>
        <w:jc w:val="right"/>
        <w:rPr>
          <w:sz w:val="22"/>
        </w:rPr>
      </w:pPr>
      <w:r w:rsidRPr="00C90821">
        <w:rPr>
          <w:b/>
          <w:i/>
          <w:sz w:val="22"/>
        </w:rPr>
        <w:t>Załącznik nr 1a</w:t>
      </w:r>
    </w:p>
    <w:p w:rsidR="0074572D" w:rsidRPr="00C90821" w:rsidRDefault="008050C4" w:rsidP="0074572D">
      <w:pPr>
        <w:pStyle w:val="Nagwek1"/>
        <w:spacing w:after="160"/>
        <w:ind w:left="11" w:hanging="11"/>
        <w:rPr>
          <w:sz w:val="22"/>
        </w:rPr>
      </w:pPr>
      <w:r w:rsidRPr="00C90821">
        <w:rPr>
          <w:sz w:val="22"/>
        </w:rPr>
        <w:t xml:space="preserve">Karta przedmiotu </w:t>
      </w:r>
    </w:p>
    <w:p w:rsidR="008050C4" w:rsidRPr="00C90821" w:rsidRDefault="008050C4" w:rsidP="0074572D">
      <w:pPr>
        <w:pStyle w:val="Nagwek1"/>
        <w:spacing w:after="160"/>
        <w:ind w:left="11" w:hanging="11"/>
        <w:rPr>
          <w:sz w:val="22"/>
        </w:rPr>
      </w:pPr>
      <w:r w:rsidRPr="00C9082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C9082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90821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C90821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90821" w:rsidTr="00D87E4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908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>1. Kierunek studiów:</w:t>
            </w:r>
            <w:r w:rsidR="00C90821">
              <w:rPr>
                <w:b/>
                <w:sz w:val="22"/>
              </w:rPr>
              <w:t xml:space="preserve"> </w:t>
            </w:r>
            <w:r w:rsidR="00D87E49" w:rsidRPr="00C90821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821" w:rsidRDefault="00D87E49" w:rsidP="00374FCD">
            <w:pPr>
              <w:spacing w:line="276" w:lineRule="auto"/>
              <w:ind w:left="0" w:right="0" w:firstLine="0"/>
              <w:jc w:val="left"/>
              <w:rPr>
                <w:b/>
                <w:sz w:val="22"/>
              </w:rPr>
            </w:pPr>
            <w:r w:rsidRPr="00C90821">
              <w:rPr>
                <w:b/>
                <w:sz w:val="22"/>
              </w:rPr>
              <w:t xml:space="preserve">2. </w:t>
            </w:r>
            <w:r w:rsidR="008050C4" w:rsidRPr="00C90821">
              <w:rPr>
                <w:b/>
                <w:sz w:val="22"/>
              </w:rPr>
              <w:t>Poziom kształcenia:</w:t>
            </w:r>
          </w:p>
          <w:p w:rsidR="008050C4" w:rsidRPr="00C90821" w:rsidRDefault="00C90821" w:rsidP="00374FCD">
            <w:pPr>
              <w:spacing w:line="276" w:lineRule="auto"/>
              <w:ind w:left="0" w:right="0" w:firstLine="0"/>
              <w:jc w:val="left"/>
              <w:rPr>
                <w:sz w:val="22"/>
              </w:rPr>
            </w:pPr>
            <w:r w:rsidRPr="00C90821">
              <w:rPr>
                <w:sz w:val="22"/>
              </w:rPr>
              <w:t>j</w:t>
            </w:r>
            <w:r w:rsidR="00D87E49" w:rsidRPr="00C90821">
              <w:rPr>
                <w:sz w:val="22"/>
              </w:rPr>
              <w:t xml:space="preserve">ednolite studia magisterskie/profil </w:t>
            </w:r>
            <w:proofErr w:type="spellStart"/>
            <w:r w:rsidR="00D87E49" w:rsidRPr="00C90821">
              <w:rPr>
                <w:sz w:val="22"/>
              </w:rPr>
              <w:t>ogólnoakademicki</w:t>
            </w:r>
            <w:proofErr w:type="spellEnd"/>
          </w:p>
          <w:p w:rsidR="008050C4" w:rsidRPr="00C90821" w:rsidRDefault="00374FCD" w:rsidP="00374FC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 xml:space="preserve">3. </w:t>
            </w:r>
            <w:r w:rsidR="008050C4" w:rsidRPr="00C90821">
              <w:rPr>
                <w:b/>
                <w:sz w:val="22"/>
              </w:rPr>
              <w:t>Forma studiów:</w:t>
            </w:r>
            <w:r w:rsidR="00C90821">
              <w:rPr>
                <w:b/>
                <w:sz w:val="22"/>
              </w:rPr>
              <w:t xml:space="preserve"> </w:t>
            </w:r>
            <w:r w:rsidR="00D87E49" w:rsidRPr="00C90821">
              <w:rPr>
                <w:sz w:val="22"/>
              </w:rPr>
              <w:t>stacjonarne</w:t>
            </w:r>
          </w:p>
        </w:tc>
      </w:tr>
      <w:tr w:rsidR="008050C4" w:rsidRPr="00C90821" w:rsidTr="00D87E4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>4. Rok:</w:t>
            </w:r>
            <w:r w:rsidR="00C90821">
              <w:rPr>
                <w:b/>
                <w:sz w:val="22"/>
              </w:rPr>
              <w:t xml:space="preserve"> </w:t>
            </w:r>
            <w:r w:rsidR="00794154" w:rsidRPr="00C90821">
              <w:rPr>
                <w:sz w:val="22"/>
              </w:rPr>
              <w:t>IV</w:t>
            </w:r>
            <w:r w:rsidR="00D87E49" w:rsidRPr="00C90821">
              <w:rPr>
                <w:sz w:val="22"/>
              </w:rPr>
              <w:t xml:space="preserve"> /cykl 202</w:t>
            </w:r>
            <w:r w:rsidR="00BA757E" w:rsidRPr="00C90821">
              <w:rPr>
                <w:sz w:val="22"/>
              </w:rPr>
              <w:t>4/</w:t>
            </w:r>
            <w:r w:rsidR="00B916D3" w:rsidRPr="00C90821">
              <w:rPr>
                <w:sz w:val="22"/>
              </w:rPr>
              <w:t>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 xml:space="preserve">5. Semestr: </w:t>
            </w:r>
            <w:r w:rsidR="00D87E49" w:rsidRPr="00C90821">
              <w:rPr>
                <w:sz w:val="22"/>
              </w:rPr>
              <w:t>VII, VIII</w:t>
            </w:r>
          </w:p>
        </w:tc>
      </w:tr>
      <w:tr w:rsidR="008050C4" w:rsidRPr="00C9082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F6450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>6. Nazwa przedmiotu:</w:t>
            </w:r>
            <w:r w:rsidR="00C90821">
              <w:rPr>
                <w:b/>
                <w:sz w:val="22"/>
              </w:rPr>
              <w:t xml:space="preserve"> </w:t>
            </w:r>
            <w:r w:rsidR="00D87E49" w:rsidRPr="00C90821">
              <w:rPr>
                <w:sz w:val="22"/>
              </w:rPr>
              <w:t xml:space="preserve">Diagnostyka funkcjonalna w </w:t>
            </w:r>
            <w:r w:rsidR="00F6450F" w:rsidRPr="00C90821">
              <w:rPr>
                <w:sz w:val="22"/>
              </w:rPr>
              <w:t>wieku rozwojowym</w:t>
            </w:r>
          </w:p>
        </w:tc>
      </w:tr>
      <w:tr w:rsidR="008050C4" w:rsidRPr="00C9082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>7. Status przedmiotu:</w:t>
            </w:r>
            <w:r w:rsidR="00C90821">
              <w:rPr>
                <w:b/>
                <w:sz w:val="22"/>
              </w:rPr>
              <w:t xml:space="preserve"> </w:t>
            </w:r>
            <w:r w:rsidR="00E84E31" w:rsidRPr="00C90821">
              <w:rPr>
                <w:sz w:val="22"/>
              </w:rPr>
              <w:t>o</w:t>
            </w:r>
            <w:r w:rsidR="00D87E49" w:rsidRPr="00C90821">
              <w:rPr>
                <w:sz w:val="22"/>
              </w:rPr>
              <w:t>bowiązkowy</w:t>
            </w:r>
          </w:p>
        </w:tc>
      </w:tr>
      <w:tr w:rsidR="008050C4" w:rsidRPr="00C90821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 xml:space="preserve">8.  Cel/-e przedmiotu  </w:t>
            </w:r>
          </w:p>
          <w:p w:rsidR="00F6450F" w:rsidRPr="00C90821" w:rsidRDefault="00F6450F" w:rsidP="00C90821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C90821">
              <w:rPr>
                <w:sz w:val="22"/>
              </w:rPr>
              <w:t>Zapoznanie studentów z umiejętnością doboru oraz wykonywania badań i testów funkcjonalnych,</w:t>
            </w:r>
          </w:p>
          <w:p w:rsidR="00F6450F" w:rsidRPr="00C90821" w:rsidRDefault="00F6450F" w:rsidP="00C90821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C90821">
              <w:rPr>
                <w:sz w:val="22"/>
              </w:rPr>
              <w:t>Interpretacja podstawowych badań czynnościowych. Zaznajomienie z objawami, zmianami</w:t>
            </w:r>
          </w:p>
          <w:p w:rsidR="00F6450F" w:rsidRPr="00C90821" w:rsidRDefault="00F6450F" w:rsidP="00C90821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C90821">
              <w:rPr>
                <w:sz w:val="22"/>
              </w:rPr>
              <w:t>patologicznymi i zaburzeniami funkcjonalnymi występującymi u dzieci i młodzieży.</w:t>
            </w:r>
          </w:p>
          <w:p w:rsidR="00C90821" w:rsidRDefault="00C90821" w:rsidP="00C90821">
            <w:pPr>
              <w:spacing w:after="13" w:line="259" w:lineRule="auto"/>
              <w:ind w:left="28" w:right="0" w:firstLine="0"/>
              <w:rPr>
                <w:b/>
                <w:sz w:val="22"/>
              </w:rPr>
            </w:pPr>
          </w:p>
          <w:p w:rsidR="008050C4" w:rsidRPr="00C90821" w:rsidRDefault="008050C4" w:rsidP="00C90821">
            <w:pPr>
              <w:spacing w:after="13" w:line="259" w:lineRule="auto"/>
              <w:ind w:left="28" w:right="94" w:firstLine="0"/>
              <w:rPr>
                <w:sz w:val="22"/>
              </w:rPr>
            </w:pPr>
            <w:r w:rsidRPr="00C90821">
              <w:rPr>
                <w:b/>
                <w:sz w:val="22"/>
              </w:rPr>
              <w:t xml:space="preserve">Efekty uczenia się/odniesienie do efektów uczenia się </w:t>
            </w:r>
            <w:r w:rsidRPr="00C90821">
              <w:rPr>
                <w:sz w:val="22"/>
              </w:rPr>
              <w:t xml:space="preserve">zawartych w </w:t>
            </w:r>
            <w:r w:rsidRPr="00C90821">
              <w:rPr>
                <w:i/>
                <w:sz w:val="22"/>
              </w:rPr>
              <w:t>(właściwe podkreślić)</w:t>
            </w:r>
            <w:r w:rsidRPr="00C90821">
              <w:rPr>
                <w:sz w:val="22"/>
              </w:rPr>
              <w:t xml:space="preserve">: </w:t>
            </w:r>
          </w:p>
          <w:p w:rsidR="00D87E49" w:rsidRPr="00C90821" w:rsidRDefault="008050C4" w:rsidP="00C90821">
            <w:pPr>
              <w:spacing w:after="15" w:line="263" w:lineRule="auto"/>
              <w:ind w:left="28" w:right="94" w:firstLine="0"/>
              <w:rPr>
                <w:i/>
                <w:sz w:val="22"/>
              </w:rPr>
            </w:pPr>
            <w:r w:rsidRPr="00C90821">
              <w:rPr>
                <w:sz w:val="22"/>
              </w:rPr>
              <w:t>standardach kształcenia (</w:t>
            </w:r>
            <w:r w:rsidRPr="00C90821">
              <w:rPr>
                <w:sz w:val="22"/>
                <w:u w:val="single"/>
              </w:rPr>
              <w:t>Rozporządzenie Ministra Nauki i Szkolnictwa Wyższego</w:t>
            </w:r>
            <w:r w:rsidRPr="00C90821">
              <w:rPr>
                <w:sz w:val="22"/>
              </w:rPr>
              <w:t>)/Uchwale Senatu SUM</w:t>
            </w:r>
            <w:r w:rsidRPr="00C90821">
              <w:rPr>
                <w:sz w:val="22"/>
                <w:u w:val="single"/>
              </w:rPr>
              <w:t xml:space="preserve"> </w:t>
            </w:r>
            <w:r w:rsidRPr="00C90821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C90821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C90821">
              <w:rPr>
                <w:sz w:val="22"/>
              </w:rPr>
              <w:t xml:space="preserve">w zakresie wiedzy student zna i rozumie: </w:t>
            </w:r>
            <w:r w:rsidR="00F6450F" w:rsidRPr="00C90821">
              <w:rPr>
                <w:sz w:val="22"/>
              </w:rPr>
              <w:t>D.W2</w:t>
            </w:r>
            <w:r w:rsidR="00D87E49" w:rsidRPr="00C90821">
              <w:rPr>
                <w:sz w:val="22"/>
              </w:rPr>
              <w:t>, D.W</w:t>
            </w:r>
            <w:r w:rsidR="00F6450F" w:rsidRPr="00C90821">
              <w:rPr>
                <w:sz w:val="22"/>
              </w:rPr>
              <w:t>1</w:t>
            </w:r>
            <w:r w:rsidR="00D87E49" w:rsidRPr="00C90821">
              <w:rPr>
                <w:sz w:val="22"/>
              </w:rPr>
              <w:t>6</w:t>
            </w:r>
          </w:p>
          <w:p w:rsidR="00D87E49" w:rsidRPr="00C90821" w:rsidRDefault="008050C4" w:rsidP="00F6450F">
            <w:pPr>
              <w:spacing w:after="0" w:line="259" w:lineRule="auto"/>
              <w:ind w:left="28" w:right="454" w:firstLine="0"/>
              <w:jc w:val="left"/>
              <w:rPr>
                <w:sz w:val="22"/>
              </w:rPr>
            </w:pPr>
            <w:r w:rsidRPr="00C90821">
              <w:rPr>
                <w:sz w:val="22"/>
              </w:rPr>
              <w:t>w zakresie umiejętności student potrafi</w:t>
            </w:r>
            <w:r w:rsidR="00D87E49" w:rsidRPr="00C90821">
              <w:rPr>
                <w:sz w:val="22"/>
              </w:rPr>
              <w:t>:D.U</w:t>
            </w:r>
            <w:r w:rsidR="00F6450F" w:rsidRPr="00C90821">
              <w:rPr>
                <w:sz w:val="22"/>
              </w:rPr>
              <w:t>18</w:t>
            </w:r>
            <w:r w:rsidR="00D87E49" w:rsidRPr="00C90821">
              <w:rPr>
                <w:sz w:val="22"/>
              </w:rPr>
              <w:t>, D.</w:t>
            </w:r>
            <w:r w:rsidR="00F6450F" w:rsidRPr="00C90821">
              <w:rPr>
                <w:sz w:val="22"/>
              </w:rPr>
              <w:t>U19</w:t>
            </w:r>
            <w:r w:rsidR="00D87E49" w:rsidRPr="00C90821">
              <w:rPr>
                <w:sz w:val="22"/>
              </w:rPr>
              <w:t xml:space="preserve">, </w:t>
            </w:r>
            <w:r w:rsidR="00F6450F" w:rsidRPr="00C90821">
              <w:rPr>
                <w:sz w:val="22"/>
              </w:rPr>
              <w:t>D.U20</w:t>
            </w:r>
            <w:r w:rsidR="00D87E49" w:rsidRPr="00C90821">
              <w:rPr>
                <w:sz w:val="22"/>
              </w:rPr>
              <w:t>, D.U</w:t>
            </w:r>
            <w:r w:rsidR="00F6450F" w:rsidRPr="00C90821">
              <w:rPr>
                <w:sz w:val="22"/>
              </w:rPr>
              <w:t>21, D.U22, D.U23, D.U24</w:t>
            </w:r>
          </w:p>
          <w:p w:rsidR="008050C4" w:rsidRPr="00C90821" w:rsidRDefault="008050C4" w:rsidP="00DF3AB9">
            <w:pPr>
              <w:spacing w:after="0" w:line="259" w:lineRule="auto"/>
              <w:ind w:left="28" w:right="655" w:firstLine="0"/>
              <w:jc w:val="left"/>
              <w:rPr>
                <w:sz w:val="22"/>
              </w:rPr>
            </w:pPr>
            <w:r w:rsidRPr="00C90821">
              <w:rPr>
                <w:sz w:val="22"/>
              </w:rPr>
              <w:t>w zakresie kompetencji społecznych student</w:t>
            </w:r>
            <w:r w:rsidR="00D87E49" w:rsidRPr="00C90821">
              <w:rPr>
                <w:sz w:val="22"/>
              </w:rPr>
              <w:t xml:space="preserve"> jest gotów do:</w:t>
            </w:r>
            <w:r w:rsidR="0039662D" w:rsidRPr="00C90821">
              <w:rPr>
                <w:sz w:val="22"/>
              </w:rPr>
              <w:t>OK_K04</w:t>
            </w:r>
            <w:r w:rsidR="00D87E49" w:rsidRPr="00C90821">
              <w:rPr>
                <w:sz w:val="22"/>
              </w:rPr>
              <w:t>,</w:t>
            </w:r>
            <w:r w:rsidR="0069271C" w:rsidRPr="00C90821">
              <w:rPr>
                <w:sz w:val="22"/>
              </w:rPr>
              <w:t>OK_K0</w:t>
            </w:r>
            <w:r w:rsidR="0039662D" w:rsidRPr="00C90821">
              <w:rPr>
                <w:sz w:val="22"/>
              </w:rPr>
              <w:t>5, OK_K06</w:t>
            </w:r>
            <w:r w:rsidR="00DF3AB9" w:rsidRPr="00C90821">
              <w:rPr>
                <w:sz w:val="22"/>
              </w:rPr>
              <w:t>, OK_K07, OK_K09.</w:t>
            </w:r>
          </w:p>
        </w:tc>
      </w:tr>
      <w:tr w:rsidR="008050C4" w:rsidRPr="00C90821" w:rsidTr="00D87E4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90821" w:rsidRDefault="003F3080" w:rsidP="00545AB1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C90821">
              <w:rPr>
                <w:b/>
                <w:sz w:val="22"/>
              </w:rPr>
              <w:t>50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90821" w:rsidRDefault="00F6450F" w:rsidP="00545AB1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C90821">
              <w:rPr>
                <w:b/>
                <w:sz w:val="22"/>
              </w:rPr>
              <w:t>3</w:t>
            </w:r>
          </w:p>
        </w:tc>
      </w:tr>
      <w:tr w:rsidR="008050C4" w:rsidRPr="00C9082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 xml:space="preserve">11. Forma zaliczenia przedmiotu: </w:t>
            </w:r>
            <w:r w:rsidR="00002BBF" w:rsidRPr="00C90821">
              <w:rPr>
                <w:sz w:val="22"/>
              </w:rPr>
              <w:t>egzamin zintegrowany</w:t>
            </w:r>
          </w:p>
        </w:tc>
      </w:tr>
      <w:tr w:rsidR="008050C4" w:rsidRPr="00C9082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908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90821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C90821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C90821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90821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C90821">
              <w:rPr>
                <w:sz w:val="22"/>
              </w:rPr>
              <w:t xml:space="preserve">Sposoby oceny*/zaliczenie </w:t>
            </w:r>
          </w:p>
        </w:tc>
      </w:tr>
      <w:tr w:rsidR="00D87E49" w:rsidRPr="00C90821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C90821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C90821" w:rsidRDefault="00D87E49" w:rsidP="00732FFF">
            <w:pPr>
              <w:ind w:left="0" w:right="-41" w:firstLine="5"/>
              <w:jc w:val="left"/>
              <w:rPr>
                <w:sz w:val="22"/>
              </w:rPr>
            </w:pPr>
            <w:r w:rsidRPr="00C90821">
              <w:rPr>
                <w:sz w:val="22"/>
              </w:rPr>
              <w:t>Test pisemny</w:t>
            </w:r>
            <w:r w:rsidR="0039662D" w:rsidRPr="00C90821">
              <w:rPr>
                <w:sz w:val="22"/>
              </w:rPr>
              <w:t>–</w:t>
            </w:r>
            <w:r w:rsidRPr="00C90821">
              <w:rPr>
                <w:sz w:val="22"/>
              </w:rPr>
              <w:t xml:space="preserve"> jednokrotnego wyboru</w:t>
            </w:r>
          </w:p>
          <w:p w:rsidR="00D87E49" w:rsidRPr="00C90821" w:rsidRDefault="00D87E49" w:rsidP="00732FFF">
            <w:pPr>
              <w:ind w:left="0" w:right="-41" w:firstLine="5"/>
              <w:jc w:val="left"/>
              <w:rPr>
                <w:sz w:val="22"/>
              </w:rPr>
            </w:pPr>
            <w:r w:rsidRPr="00C90821">
              <w:rPr>
                <w:sz w:val="22"/>
              </w:rPr>
              <w:t xml:space="preserve">Analiza i dyskusja  w oparciu </w:t>
            </w:r>
            <w:r w:rsidR="00732FFF" w:rsidRPr="00C90821">
              <w:rPr>
                <w:sz w:val="22"/>
              </w:rPr>
              <w:br/>
            </w:r>
            <w:r w:rsidRPr="00C90821">
              <w:rPr>
                <w:sz w:val="22"/>
              </w:rPr>
              <w:t>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C90821" w:rsidRDefault="00D87E49" w:rsidP="00D87E49">
            <w:pPr>
              <w:rPr>
                <w:sz w:val="22"/>
              </w:rPr>
            </w:pPr>
            <w:r w:rsidRPr="00C90821">
              <w:rPr>
                <w:b/>
                <w:sz w:val="22"/>
              </w:rPr>
              <w:t>*</w:t>
            </w:r>
          </w:p>
        </w:tc>
      </w:tr>
      <w:tr w:rsidR="00D87E49" w:rsidRPr="00C90821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C90821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C90821" w:rsidRDefault="00D87E49" w:rsidP="00386E89">
            <w:pPr>
              <w:ind w:right="0" w:hanging="351"/>
              <w:jc w:val="left"/>
              <w:rPr>
                <w:sz w:val="22"/>
              </w:rPr>
            </w:pPr>
            <w:r w:rsidRPr="00C90821">
              <w:rPr>
                <w:sz w:val="22"/>
              </w:rPr>
              <w:t>Realizacja zleconego zadania</w:t>
            </w:r>
          </w:p>
          <w:p w:rsidR="00D87E49" w:rsidRPr="00C90821" w:rsidRDefault="00F6450F" w:rsidP="00386E89">
            <w:pPr>
              <w:ind w:right="0" w:hanging="351"/>
              <w:jc w:val="left"/>
              <w:rPr>
                <w:sz w:val="22"/>
              </w:rPr>
            </w:pPr>
            <w:r w:rsidRPr="00C90821">
              <w:rPr>
                <w:sz w:val="22"/>
              </w:rPr>
              <w:t>D</w:t>
            </w:r>
            <w:r w:rsidR="00D87E49" w:rsidRPr="00C90821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C90821" w:rsidRDefault="00D87E49" w:rsidP="00D87E49">
            <w:pPr>
              <w:rPr>
                <w:sz w:val="22"/>
              </w:rPr>
            </w:pPr>
            <w:r w:rsidRPr="00C90821">
              <w:rPr>
                <w:b/>
                <w:sz w:val="22"/>
              </w:rPr>
              <w:t>*</w:t>
            </w:r>
          </w:p>
        </w:tc>
      </w:tr>
      <w:tr w:rsidR="00D87E49" w:rsidRPr="00C90821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C90821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90821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C90821" w:rsidRDefault="00D87E49" w:rsidP="00732FFF">
            <w:pPr>
              <w:ind w:left="0" w:firstLine="0"/>
              <w:jc w:val="left"/>
              <w:rPr>
                <w:sz w:val="22"/>
              </w:rPr>
            </w:pPr>
            <w:r w:rsidRPr="00C90821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C90821" w:rsidRDefault="00D87E49" w:rsidP="00D87E49">
            <w:pPr>
              <w:rPr>
                <w:sz w:val="22"/>
              </w:rPr>
            </w:pPr>
            <w:r w:rsidRPr="00C90821">
              <w:rPr>
                <w:b/>
                <w:sz w:val="22"/>
              </w:rPr>
              <w:t>*</w:t>
            </w:r>
          </w:p>
        </w:tc>
      </w:tr>
    </w:tbl>
    <w:p w:rsidR="00C90821" w:rsidRPr="00C90821" w:rsidRDefault="00C90821" w:rsidP="008050C4">
      <w:pPr>
        <w:spacing w:after="306" w:line="259" w:lineRule="auto"/>
        <w:ind w:left="341" w:right="0" w:firstLine="0"/>
        <w:jc w:val="left"/>
        <w:rPr>
          <w:b/>
          <w:sz w:val="22"/>
        </w:rPr>
      </w:pPr>
    </w:p>
    <w:p w:rsidR="00C90821" w:rsidRPr="00C90821" w:rsidRDefault="00C90821" w:rsidP="00C9082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bookmarkStart w:id="0" w:name="_Hlk166759331"/>
      <w:r w:rsidRPr="00C90821">
        <w:rPr>
          <w:rFonts w:eastAsiaTheme="minorHAnsi"/>
          <w:b/>
          <w:bCs/>
          <w:sz w:val="22"/>
          <w:lang w:eastAsia="en-US"/>
        </w:rPr>
        <w:t xml:space="preserve">* </w:t>
      </w:r>
      <w:r w:rsidRPr="00C90821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C90821" w:rsidRPr="00C90821" w:rsidRDefault="00C90821" w:rsidP="00C9082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:rsidR="00C90821" w:rsidRPr="00C90821" w:rsidRDefault="00C90821" w:rsidP="00C9082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C90821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C90821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C90821" w:rsidRPr="00C90821" w:rsidRDefault="00C90821" w:rsidP="00C9082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C90821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C90821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C90821" w:rsidRPr="00C90821" w:rsidRDefault="00C90821" w:rsidP="00C9082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C90821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C90821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C90821" w:rsidRPr="00C90821" w:rsidRDefault="00C90821" w:rsidP="00C9082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C90821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C90821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C90821" w:rsidRPr="00C90821" w:rsidRDefault="00C90821" w:rsidP="00C9082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C90821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C90821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C90821" w:rsidRDefault="00C90821" w:rsidP="00C90821">
      <w:pPr>
        <w:spacing w:after="306" w:line="259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C90821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C90821">
        <w:rPr>
          <w:rFonts w:eastAsiaTheme="minorHAnsi"/>
          <w:sz w:val="22"/>
          <w:lang w:eastAsia="en-US"/>
        </w:rPr>
        <w:t>– zakładane efekty uczenia się nie zostały uzyskane.</w:t>
      </w:r>
    </w:p>
    <w:p w:rsidR="009A5436" w:rsidRDefault="009A5436" w:rsidP="00C90821">
      <w:pPr>
        <w:spacing w:after="306" w:line="259" w:lineRule="auto"/>
        <w:ind w:left="426" w:right="0" w:firstLine="0"/>
        <w:jc w:val="left"/>
        <w:rPr>
          <w:sz w:val="22"/>
        </w:rPr>
      </w:pPr>
    </w:p>
    <w:p w:rsidR="009A5436" w:rsidRDefault="009A5436" w:rsidP="00C90821">
      <w:pPr>
        <w:spacing w:after="306" w:line="259" w:lineRule="auto"/>
        <w:ind w:left="426" w:right="0" w:firstLine="0"/>
        <w:jc w:val="left"/>
        <w:rPr>
          <w:sz w:val="22"/>
        </w:rPr>
      </w:pPr>
    </w:p>
    <w:p w:rsidR="009A5436" w:rsidRDefault="009A5436" w:rsidP="00C90821">
      <w:pPr>
        <w:spacing w:after="306" w:line="259" w:lineRule="auto"/>
        <w:ind w:left="426" w:right="0" w:firstLine="0"/>
        <w:jc w:val="left"/>
        <w:rPr>
          <w:sz w:val="22"/>
        </w:rPr>
      </w:pPr>
    </w:p>
    <w:p w:rsidR="009A5436" w:rsidRDefault="009A5436" w:rsidP="00C90821">
      <w:pPr>
        <w:spacing w:after="306" w:line="259" w:lineRule="auto"/>
        <w:ind w:left="426" w:right="0" w:firstLine="0"/>
        <w:jc w:val="left"/>
        <w:rPr>
          <w:sz w:val="22"/>
        </w:rPr>
      </w:pPr>
    </w:p>
    <w:p w:rsidR="009A5436" w:rsidRPr="00F01AFA" w:rsidRDefault="009A5436" w:rsidP="009A543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01AFA">
        <w:rPr>
          <w:rFonts w:eastAsia="Calibri"/>
          <w:b/>
          <w:sz w:val="28"/>
          <w:lang w:eastAsia="en-US"/>
        </w:rPr>
        <w:t>Karta przedmiotu</w:t>
      </w:r>
    </w:p>
    <w:p w:rsidR="009A5436" w:rsidRPr="00F01AFA" w:rsidRDefault="009A5436" w:rsidP="009A543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01AFA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9A5436" w:rsidRPr="00F01AFA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9A5436" w:rsidRPr="00F01AFA" w:rsidTr="00D65F10">
        <w:tc>
          <w:tcPr>
            <w:tcW w:w="9748" w:type="dxa"/>
            <w:gridSpan w:val="5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F01AFA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F01AFA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9A5436" w:rsidRPr="00F01AFA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 xml:space="preserve">Zakład Fizjoterapii Wieku Rozwojowego, Wydział Nauk o Zdrowiu w Katowicach, Katowice,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F01AFA">
              <w:rPr>
                <w:rFonts w:eastAsia="Calibri"/>
                <w:sz w:val="22"/>
                <w:lang w:eastAsia="en-US"/>
              </w:rPr>
              <w:t>ul. Medyków 12</w:t>
            </w:r>
          </w:p>
        </w:tc>
      </w:tr>
      <w:tr w:rsidR="009A5436" w:rsidRPr="00F01AFA" w:rsidTr="00D65F10">
        <w:tc>
          <w:tcPr>
            <w:tcW w:w="9748" w:type="dxa"/>
            <w:gridSpan w:val="5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9A5436" w:rsidRPr="00F01AFA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dr hab. n. o zdrowiu Małgorzata Domagalska-Szopa</w:t>
            </w:r>
            <w:r>
              <w:rPr>
                <w:rFonts w:eastAsia="Calibri"/>
                <w:sz w:val="22"/>
                <w:lang w:eastAsia="en-US"/>
              </w:rPr>
              <w:t>, prof. SUM</w:t>
            </w:r>
          </w:p>
        </w:tc>
      </w:tr>
      <w:tr w:rsidR="009A5436" w:rsidRPr="00F01AFA" w:rsidTr="00D65F10">
        <w:tc>
          <w:tcPr>
            <w:tcW w:w="9748" w:type="dxa"/>
            <w:gridSpan w:val="5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9A5436" w:rsidRPr="00F01AFA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 xml:space="preserve">Znajomość patofizjologii, klinicznych podstaw fizjoterapii w pediatrii, klinicznych podstaw fizjoterapii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F01AFA">
              <w:rPr>
                <w:rFonts w:eastAsia="Calibri"/>
                <w:sz w:val="22"/>
                <w:lang w:eastAsia="en-US"/>
              </w:rPr>
              <w:t>w neurologii dziecięcej, fizjoterapii klinicznej w dysfunkcjach układu ruchu w wieku rozwojowym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</w:tr>
      <w:tr w:rsidR="009A5436" w:rsidRPr="00F01AFA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9A5436" w:rsidRPr="00F01AFA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10"/>
              <w:jc w:val="left"/>
            </w:pPr>
            <w:r w:rsidRPr="00F01AFA">
              <w:rPr>
                <w:sz w:val="22"/>
              </w:rPr>
              <w:t xml:space="preserve">Stoły rehabilitacyjne, materace, taborety, sprzęt </w:t>
            </w:r>
            <w:r>
              <w:rPr>
                <w:sz w:val="22"/>
              </w:rPr>
              <w:br/>
            </w:r>
            <w:r w:rsidRPr="00F01AFA">
              <w:rPr>
                <w:sz w:val="22"/>
              </w:rPr>
              <w:t>do diagnostyki funkcjonalnej</w:t>
            </w:r>
          </w:p>
        </w:tc>
      </w:tr>
      <w:tr w:rsidR="009A5436" w:rsidRPr="00F01AFA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10"/>
              <w:jc w:val="left"/>
            </w:pPr>
            <w:r w:rsidRPr="00F01AFA">
              <w:rPr>
                <w:sz w:val="22"/>
              </w:rPr>
              <w:t>Oddziały kliniczne, sale wykładowe</w:t>
            </w:r>
          </w:p>
        </w:tc>
      </w:tr>
      <w:tr w:rsidR="009A5436" w:rsidRPr="00F01AFA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10"/>
              <w:jc w:val="left"/>
            </w:pPr>
            <w:r>
              <w:rPr>
                <w:sz w:val="22"/>
              </w:rPr>
              <w:t>P</w:t>
            </w:r>
            <w:r w:rsidRPr="00F01AFA">
              <w:rPr>
                <w:sz w:val="22"/>
              </w:rPr>
              <w:t xml:space="preserve">okój 614, ul. Medyków 12 Katowice-Ligota </w:t>
            </w:r>
            <w:r>
              <w:rPr>
                <w:sz w:val="22"/>
              </w:rPr>
              <w:br/>
            </w:r>
            <w:r w:rsidRPr="00F01AFA">
              <w:rPr>
                <w:sz w:val="22"/>
              </w:rPr>
              <w:t>wg wywieszonego w gablocie harmonogramu</w:t>
            </w:r>
          </w:p>
        </w:tc>
      </w:tr>
      <w:tr w:rsidR="009A5436" w:rsidRPr="00F01AFA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3F3080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3F3080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1" w:name="_GoBack"/>
            <w:r w:rsidRPr="009A5436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1"/>
            <w:r w:rsidRPr="003F3080">
              <w:rPr>
                <w:rFonts w:eastAsia="Calibri"/>
                <w:sz w:val="22"/>
                <w:lang w:eastAsia="en-US"/>
              </w:rPr>
              <w:t>/</w:t>
            </w:r>
            <w:r w:rsidRPr="00F01AFA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  <w:r w:rsidRPr="009A5436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F01AFA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Zna i rozumie zasady diagnozowania najczęstszych dysfunkcji narządu ruchu w pediatrii, neurologii dziecięcej, w stopniu umożliwiającym racjonalne stosowanie środków fizjoterapii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 xml:space="preserve">Zna i rozumie założenia i zasady Międzynarodowej Klasyfikacji Funkcjonowania, Niepełnosprawności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F01AFA">
              <w:rPr>
                <w:rFonts w:eastAsia="Calibri"/>
                <w:sz w:val="22"/>
                <w:lang w:eastAsia="en-US"/>
              </w:rPr>
              <w:t xml:space="preserve">i Zdrowia (International </w:t>
            </w:r>
            <w:proofErr w:type="spellStart"/>
            <w:r w:rsidRPr="00F01AFA">
              <w:rPr>
                <w:rFonts w:eastAsia="Calibri"/>
                <w:sz w:val="22"/>
                <w:lang w:eastAsia="en-US"/>
              </w:rPr>
              <w:t>Classification</w:t>
            </w:r>
            <w:proofErr w:type="spellEnd"/>
            <w:r w:rsidRPr="00F01AFA">
              <w:rPr>
                <w:rFonts w:eastAsia="Calibri"/>
                <w:sz w:val="22"/>
                <w:lang w:eastAsia="en-US"/>
              </w:rPr>
              <w:t xml:space="preserve"> of </w:t>
            </w:r>
            <w:proofErr w:type="spellStart"/>
            <w:r w:rsidRPr="00F01AFA">
              <w:rPr>
                <w:rFonts w:eastAsia="Calibri"/>
                <w:sz w:val="22"/>
                <w:lang w:eastAsia="en-US"/>
              </w:rPr>
              <w:t>Function</w:t>
            </w:r>
            <w:r>
              <w:rPr>
                <w:rFonts w:eastAsia="Calibri"/>
                <w:sz w:val="22"/>
                <w:lang w:eastAsia="en-US"/>
              </w:rPr>
              <w:t>ingDisability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and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Health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, ICF)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Potrafi ocenić rozwój psychomotoryczny dziecka starszego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D.U18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Potrafi przeprowadzić ocenę aktywności spontanicznej noworodka i niemowlęcia w oparciu o odpowiednie skale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D.U19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Potrafi dokonać oceny poziomu umiejętności funkcjonalnych dziecka w zakresie motoryki małej i dużej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D.U20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 xml:space="preserve">Potrafi przeprowadzić kliniczną ocenę podwyższonego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F01AFA">
              <w:rPr>
                <w:rFonts w:eastAsia="Calibri"/>
                <w:sz w:val="22"/>
                <w:lang w:eastAsia="en-US"/>
              </w:rPr>
              <w:t>lub obniżonego napięcia mięśniowego u dziecka w</w:t>
            </w:r>
            <w:r>
              <w:rPr>
                <w:rFonts w:eastAsia="Calibri"/>
                <w:sz w:val="22"/>
                <w:lang w:eastAsia="en-US"/>
              </w:rPr>
              <w:t xml:space="preserve"> tym spastyczności i sztywności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D.U21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 xml:space="preserve">Potrafi przeprowadzić kliniczną ocenę postawy ciała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231FBF">
              <w:rPr>
                <w:rFonts w:eastAsia="Calibri"/>
                <w:sz w:val="22"/>
                <w:lang w:eastAsia="en-US"/>
              </w:rPr>
              <w:t>z wykorzystaniem odpowiednich narzędzi; potrafi zinterpretować wyniki badania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D.U22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 xml:space="preserve">Potrafi ocenić postawę ciała dziecka ze skoliozą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231FBF">
              <w:rPr>
                <w:rFonts w:eastAsia="Calibri"/>
                <w:sz w:val="22"/>
                <w:lang w:eastAsia="en-US"/>
              </w:rPr>
              <w:t>z uwzględnieniem badania obrazowego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Pr="00231FBF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D.U23</w:t>
            </w:r>
          </w:p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D.U24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Przestrzega zasady etyki zawodowej i praw pacjenta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Dostrzega i rozpoznaje własne ograniczenia, dokonuje samooceny deficytów i potrzeb edukacyjnych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Korzysta z obiektywnych źródeł informacji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6B4F4A" w:rsidRDefault="009A5436" w:rsidP="00D65F10">
            <w:pPr>
              <w:widowControl w:val="0"/>
              <w:tabs>
                <w:tab w:val="left" w:pos="568"/>
                <w:tab w:val="left" w:pos="1295"/>
                <w:tab w:val="left" w:pos="1663"/>
                <w:tab w:val="left" w:pos="2775"/>
                <w:tab w:val="left" w:pos="3404"/>
                <w:tab w:val="left" w:pos="4702"/>
                <w:tab w:val="left" w:pos="6079"/>
                <w:tab w:val="left" w:pos="6259"/>
                <w:tab w:val="left" w:pos="7478"/>
              </w:tabs>
              <w:autoSpaceDE w:val="0"/>
              <w:autoSpaceDN w:val="0"/>
              <w:spacing w:before="18" w:after="36" w:line="240" w:lineRule="exact"/>
              <w:ind w:left="0" w:right="0" w:firstLine="0"/>
              <w:jc w:val="left"/>
              <w:rPr>
                <w:noProof/>
                <w:spacing w:val="2"/>
                <w:szCs w:val="24"/>
                <w:lang w:eastAsia="en-US"/>
              </w:rPr>
            </w:pPr>
            <w:r>
              <w:rPr>
                <w:noProof/>
                <w:spacing w:val="-1"/>
                <w:szCs w:val="24"/>
                <w:lang w:eastAsia="en-US"/>
              </w:rPr>
              <w:t>W</w:t>
            </w:r>
            <w:r w:rsidRPr="006B4F4A">
              <w:rPr>
                <w:noProof/>
                <w:spacing w:val="-1"/>
                <w:szCs w:val="24"/>
                <w:lang w:eastAsia="en-US"/>
              </w:rPr>
              <w:t>drażaniazasad</w:t>
            </w:r>
            <w:r>
              <w:rPr>
                <w:noProof/>
                <w:spacing w:val="-1"/>
                <w:szCs w:val="24"/>
                <w:lang w:eastAsia="en-US"/>
              </w:rPr>
              <w:t xml:space="preserve">y koleżeństwa </w:t>
            </w:r>
            <w:r w:rsidRPr="006B4F4A">
              <w:rPr>
                <w:noProof/>
                <w:spacing w:val="-1"/>
                <w:szCs w:val="24"/>
                <w:lang w:eastAsia="en-US"/>
              </w:rPr>
              <w:t>zawodowego</w:t>
            </w:r>
            <w:r>
              <w:rPr>
                <w:noProof/>
                <w:szCs w:val="24"/>
                <w:lang w:eastAsia="en-US"/>
              </w:rPr>
              <w:t xml:space="preserve">i współpracy </w:t>
            </w:r>
            <w:r w:rsidRPr="006B4F4A">
              <w:rPr>
                <w:noProof/>
                <w:szCs w:val="24"/>
                <w:lang w:eastAsia="en-US"/>
              </w:rPr>
              <w:t>wzespole</w:t>
            </w:r>
            <w:r>
              <w:rPr>
                <w:noProof/>
                <w:spacing w:val="-1"/>
                <w:szCs w:val="24"/>
                <w:lang w:eastAsia="en-US"/>
              </w:rPr>
              <w:t xml:space="preserve">specjalistów, </w:t>
            </w:r>
            <w:r>
              <w:rPr>
                <w:noProof/>
                <w:szCs w:val="24"/>
                <w:lang w:eastAsia="en-US"/>
              </w:rPr>
              <w:t xml:space="preserve">w </w:t>
            </w:r>
            <w:r w:rsidRPr="006B4F4A">
              <w:rPr>
                <w:noProof/>
                <w:spacing w:val="-1"/>
                <w:szCs w:val="24"/>
                <w:lang w:eastAsia="en-US"/>
              </w:rPr>
              <w:t>tymprzedstawicielamiinnych</w:t>
            </w:r>
            <w:r w:rsidRPr="006B4F4A">
              <w:rPr>
                <w:noProof/>
                <w:szCs w:val="24"/>
                <w:lang w:eastAsia="en-US"/>
              </w:rPr>
              <w:t>zawodów</w:t>
            </w:r>
            <w:r w:rsidRPr="006B4F4A">
              <w:rPr>
                <w:noProof/>
                <w:spacing w:val="-1"/>
                <w:szCs w:val="24"/>
                <w:lang w:eastAsia="en-US"/>
              </w:rPr>
              <w:t>medycznych,</w:t>
            </w:r>
            <w:r>
              <w:rPr>
                <w:noProof/>
                <w:spacing w:val="1"/>
                <w:szCs w:val="24"/>
                <w:lang w:eastAsia="en-US"/>
              </w:rPr>
              <w:t>także w środowisku</w:t>
            </w:r>
            <w:r w:rsidRPr="006B4F4A">
              <w:rPr>
                <w:noProof/>
                <w:spacing w:val="-1"/>
                <w:szCs w:val="24"/>
                <w:lang w:eastAsia="en-US"/>
              </w:rPr>
              <w:t>wielokulturowymwielonarodowościowym;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9A5436" w:rsidRPr="00F01AFA" w:rsidTr="00D65F10">
        <w:tc>
          <w:tcPr>
            <w:tcW w:w="1778" w:type="dxa"/>
            <w:shd w:val="clear" w:color="auto" w:fill="auto"/>
            <w:vAlign w:val="center"/>
          </w:tcPr>
          <w:p w:rsidR="009A5436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A5436" w:rsidRPr="00231FBF" w:rsidRDefault="009A5436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Jest gotów do przyjęcia</w:t>
            </w:r>
            <w:r>
              <w:rPr>
                <w:rFonts w:eastAsia="Calibri"/>
                <w:sz w:val="22"/>
                <w:lang w:eastAsia="en-US"/>
              </w:rPr>
              <w:tab/>
              <w:t xml:space="preserve">odpowiedzialności związanej z </w:t>
            </w:r>
            <w:r w:rsidRPr="006B4F4A">
              <w:rPr>
                <w:rFonts w:eastAsia="Calibri"/>
                <w:sz w:val="22"/>
                <w:lang w:eastAsia="en-US"/>
              </w:rPr>
              <w:t>decyzjami</w:t>
            </w:r>
            <w:r>
              <w:rPr>
                <w:rFonts w:eastAsia="Calibri"/>
                <w:sz w:val="22"/>
                <w:lang w:eastAsia="en-US"/>
              </w:rPr>
              <w:t xml:space="preserve"> podejmowanymi w ramach działalności zawodowej, w tym w </w:t>
            </w:r>
            <w:proofErr w:type="spellStart"/>
            <w:r w:rsidRPr="006B4F4A">
              <w:rPr>
                <w:rFonts w:eastAsia="Calibri"/>
                <w:sz w:val="22"/>
                <w:lang w:eastAsia="en-US"/>
              </w:rPr>
              <w:t>kategoriachbezpieczeństwa</w:t>
            </w:r>
            <w:proofErr w:type="spellEnd"/>
            <w:r w:rsidRPr="006B4F4A">
              <w:rPr>
                <w:rFonts w:eastAsia="Calibri"/>
                <w:sz w:val="22"/>
                <w:lang w:eastAsia="en-US"/>
              </w:rPr>
              <w:t xml:space="preserve">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A5436" w:rsidRDefault="009A5436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OK_K09</w:t>
            </w:r>
          </w:p>
        </w:tc>
      </w:tr>
      <w:tr w:rsidR="009A5436" w:rsidRPr="00F01AFA" w:rsidTr="00D65F10">
        <w:tc>
          <w:tcPr>
            <w:tcW w:w="8695" w:type="dxa"/>
            <w:gridSpan w:val="4"/>
            <w:shd w:val="clear" w:color="auto" w:fill="D9D9D9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lastRenderedPageBreak/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9A5436" w:rsidRPr="00F01AFA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24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 xml:space="preserve">Założenia i zasady Międzynarodowej Klasyfikacji </w:t>
            </w:r>
            <w:proofErr w:type="spellStart"/>
            <w:r w:rsidRPr="00231FBF">
              <w:rPr>
                <w:rFonts w:eastAsia="Calibri"/>
                <w:sz w:val="22"/>
                <w:lang w:eastAsia="en-US"/>
              </w:rPr>
              <w:t>Funkcjonowania,Niepełnosprawności</w:t>
            </w:r>
            <w:proofErr w:type="spellEnd"/>
            <w:r w:rsidRPr="00231FBF">
              <w:rPr>
                <w:rFonts w:eastAsia="Calibri"/>
                <w:sz w:val="22"/>
                <w:lang w:eastAsia="en-US"/>
              </w:rPr>
              <w:t xml:space="preserve"> i Zdrowia wersja dla dzieci (International </w:t>
            </w:r>
            <w:proofErr w:type="spellStart"/>
            <w:r w:rsidRPr="00231FBF">
              <w:rPr>
                <w:rFonts w:eastAsia="Calibri"/>
                <w:sz w:val="22"/>
                <w:lang w:eastAsia="en-US"/>
              </w:rPr>
              <w:t>Classification</w:t>
            </w:r>
            <w:proofErr w:type="spellEnd"/>
            <w:r w:rsidRPr="00231FBF">
              <w:rPr>
                <w:rFonts w:eastAsia="Calibri"/>
                <w:sz w:val="22"/>
                <w:lang w:eastAsia="en-US"/>
              </w:rPr>
              <w:t xml:space="preserve"> of </w:t>
            </w:r>
            <w:proofErr w:type="spellStart"/>
            <w:r w:rsidRPr="00231FBF">
              <w:rPr>
                <w:rFonts w:eastAsia="Calibri"/>
                <w:sz w:val="22"/>
                <w:lang w:eastAsia="en-US"/>
              </w:rPr>
              <w:t>FunctioningDisability</w:t>
            </w:r>
            <w:proofErr w:type="spellEnd"/>
            <w:r w:rsidRPr="00231FBF">
              <w:rPr>
                <w:rFonts w:eastAsia="Calibri"/>
                <w:sz w:val="22"/>
                <w:lang w:eastAsia="en-US"/>
              </w:rPr>
              <w:t xml:space="preserve"> and </w:t>
            </w:r>
            <w:proofErr w:type="spellStart"/>
            <w:r w:rsidRPr="00231FBF">
              <w:rPr>
                <w:rFonts w:eastAsia="Calibri"/>
                <w:sz w:val="22"/>
                <w:lang w:eastAsia="en-US"/>
              </w:rPr>
              <w:t>Health</w:t>
            </w:r>
            <w:proofErr w:type="spellEnd"/>
            <w:r w:rsidRPr="00231FBF">
              <w:rPr>
                <w:rFonts w:eastAsia="Calibri"/>
                <w:sz w:val="22"/>
                <w:lang w:eastAsia="en-US"/>
              </w:rPr>
              <w:t>, ICF- CY).</w:t>
            </w:r>
          </w:p>
        </w:tc>
        <w:tc>
          <w:tcPr>
            <w:tcW w:w="1053" w:type="dxa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231FBF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Etiologia patomechanizm, objawy i przebieg wybranych dysfunkcji narządu ruchu w pediatrii i neurologii dziecięcej</w:t>
            </w:r>
          </w:p>
        </w:tc>
        <w:tc>
          <w:tcPr>
            <w:tcW w:w="1053" w:type="dxa"/>
            <w:vAlign w:val="center"/>
          </w:tcPr>
          <w:p w:rsidR="009A5436" w:rsidRPr="00231FBF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231FBF" w:rsidRDefault="009A5436" w:rsidP="00D65F10">
            <w:pPr>
              <w:pStyle w:val="Akapitzlist"/>
              <w:spacing w:after="0" w:line="240" w:lineRule="auto"/>
              <w:ind w:left="57"/>
              <w:rPr>
                <w:highlight w:val="yellow"/>
              </w:rPr>
            </w:pPr>
            <w:r w:rsidRPr="00231FBF">
              <w:rPr>
                <w:sz w:val="22"/>
              </w:rPr>
              <w:t xml:space="preserve">Zasady diagnozowania najczęstszych dysfunkcji narządu ruchu w pediatrii </w:t>
            </w:r>
          </w:p>
        </w:tc>
        <w:tc>
          <w:tcPr>
            <w:tcW w:w="1053" w:type="dxa"/>
            <w:vAlign w:val="center"/>
          </w:tcPr>
          <w:p w:rsidR="009A5436" w:rsidRPr="00231FBF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231FBF" w:rsidRDefault="009A5436" w:rsidP="00D65F10">
            <w:pPr>
              <w:pStyle w:val="Akapitzlist"/>
              <w:spacing w:after="0" w:line="240" w:lineRule="auto"/>
              <w:ind w:left="57"/>
            </w:pPr>
            <w:r w:rsidRPr="00231FBF">
              <w:rPr>
                <w:sz w:val="22"/>
              </w:rPr>
              <w:t>Zasady diagnozowania najczęstszych dysfunkcji narządu ruchu w neurologii dziecięcej</w:t>
            </w:r>
          </w:p>
        </w:tc>
        <w:tc>
          <w:tcPr>
            <w:tcW w:w="1053" w:type="dxa"/>
            <w:vAlign w:val="center"/>
          </w:tcPr>
          <w:p w:rsidR="009A5436" w:rsidRPr="00231FBF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231FBF" w:rsidRDefault="009A5436" w:rsidP="00D65F10">
            <w:pPr>
              <w:pStyle w:val="Akapitzlist"/>
              <w:spacing w:after="0" w:line="240" w:lineRule="auto"/>
              <w:ind w:left="57"/>
            </w:pPr>
            <w:r w:rsidRPr="00231FBF">
              <w:rPr>
                <w:sz w:val="22"/>
              </w:rPr>
              <w:t>Monachijska Funkcjonalna Diagnostyka Rozwojowa w 1, 2, 3  roku życia dziecka – ogólne założenia</w:t>
            </w:r>
          </w:p>
        </w:tc>
        <w:tc>
          <w:tcPr>
            <w:tcW w:w="1053" w:type="dxa"/>
            <w:vAlign w:val="center"/>
          </w:tcPr>
          <w:p w:rsidR="009A5436" w:rsidRPr="00231FBF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231FBF" w:rsidRDefault="009A5436" w:rsidP="00D65F10">
            <w:pPr>
              <w:pStyle w:val="Akapitzlist"/>
              <w:widowControl w:val="0"/>
              <w:tabs>
                <w:tab w:val="left" w:pos="709"/>
              </w:tabs>
              <w:spacing w:after="0" w:line="240" w:lineRule="auto"/>
              <w:ind w:left="0"/>
            </w:pPr>
            <w:r w:rsidRPr="00231FBF">
              <w:rPr>
                <w:sz w:val="22"/>
              </w:rPr>
              <w:t>Podstawy analizy chodu w wieku rozwojowym</w:t>
            </w:r>
            <w:r w:rsidRPr="00231FBF">
              <w:rPr>
                <w:sz w:val="22"/>
              </w:rPr>
              <w:tab/>
              <w:t xml:space="preserve">i metody oceny zaburzeń chodu </w:t>
            </w:r>
            <w:r>
              <w:rPr>
                <w:sz w:val="22"/>
              </w:rPr>
              <w:br/>
            </w:r>
            <w:r w:rsidRPr="00231FBF">
              <w:rPr>
                <w:sz w:val="22"/>
              </w:rPr>
              <w:t>u dzieci z mózgowym porażeniem dziecięcym (</w:t>
            </w:r>
            <w:proofErr w:type="spellStart"/>
            <w:r w:rsidRPr="00231FBF">
              <w:rPr>
                <w:sz w:val="22"/>
              </w:rPr>
              <w:t>MPDz</w:t>
            </w:r>
            <w:proofErr w:type="spellEnd"/>
            <w:r w:rsidRPr="00231FBF">
              <w:rPr>
                <w:sz w:val="22"/>
              </w:rPr>
              <w:t>)</w:t>
            </w:r>
          </w:p>
        </w:tc>
        <w:tc>
          <w:tcPr>
            <w:tcW w:w="1053" w:type="dxa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21.2. 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26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231FBF" w:rsidRDefault="009A5436" w:rsidP="00D65F10">
            <w:pPr>
              <w:pStyle w:val="Akapitzlist"/>
              <w:spacing w:after="0" w:line="240" w:lineRule="auto"/>
              <w:ind w:left="57"/>
            </w:pPr>
            <w:r w:rsidRPr="00231FBF">
              <w:rPr>
                <w:sz w:val="22"/>
              </w:rPr>
              <w:t>Ocena postawy ciała z wykorzystaniem testów funkcjonalnych</w:t>
            </w:r>
          </w:p>
        </w:tc>
        <w:tc>
          <w:tcPr>
            <w:tcW w:w="1053" w:type="dxa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231FBF" w:rsidRDefault="009A5436" w:rsidP="00D65F10">
            <w:pPr>
              <w:pStyle w:val="Akapitzlist"/>
              <w:spacing w:after="0" w:line="240" w:lineRule="auto"/>
              <w:ind w:left="57"/>
            </w:pPr>
            <w:r w:rsidRPr="00231FBF">
              <w:rPr>
                <w:sz w:val="22"/>
              </w:rPr>
              <w:t xml:space="preserve">Testy funkcjonalne wykorzystywane w diagnostyce zaburzeń układu ruchu dzieci i młodzieży </w:t>
            </w:r>
          </w:p>
        </w:tc>
        <w:tc>
          <w:tcPr>
            <w:tcW w:w="1053" w:type="dxa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231FBF" w:rsidRDefault="009A5436" w:rsidP="00D65F10">
            <w:pPr>
              <w:pStyle w:val="Akapitzlist"/>
              <w:spacing w:after="0" w:line="240" w:lineRule="auto"/>
              <w:ind w:left="57"/>
            </w:pPr>
            <w:r w:rsidRPr="00231FBF">
              <w:rPr>
                <w:sz w:val="22"/>
              </w:rPr>
              <w:t xml:space="preserve">Badanie neurologiczne dla potrzeb fizjoterapii w wieku rozwojowym; skale oceny możliwości ruchowych wykorzystywanych w diagnostyce dzieci i młodzieży  </w:t>
            </w:r>
          </w:p>
        </w:tc>
        <w:tc>
          <w:tcPr>
            <w:tcW w:w="1053" w:type="dxa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231FBF" w:rsidRDefault="009A5436" w:rsidP="00D65F10">
            <w:pPr>
              <w:pStyle w:val="Akapitzlist"/>
              <w:spacing w:after="0" w:line="240" w:lineRule="auto"/>
              <w:ind w:left="57"/>
              <w:rPr>
                <w:b/>
              </w:rPr>
            </w:pPr>
            <w:r w:rsidRPr="00231FBF">
              <w:rPr>
                <w:sz w:val="22"/>
              </w:rPr>
              <w:t>Ocena rozwoju psychomotoryczny dziecka w wieku 0-6 miesięcy</w:t>
            </w:r>
          </w:p>
        </w:tc>
        <w:tc>
          <w:tcPr>
            <w:tcW w:w="1053" w:type="dxa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9A5436" w:rsidRPr="00F01AFA" w:rsidTr="00D65F10">
        <w:tc>
          <w:tcPr>
            <w:tcW w:w="8695" w:type="dxa"/>
            <w:gridSpan w:val="4"/>
            <w:vAlign w:val="center"/>
          </w:tcPr>
          <w:p w:rsidR="009A5436" w:rsidRPr="00231FBF" w:rsidRDefault="009A5436" w:rsidP="00D65F10">
            <w:pPr>
              <w:pStyle w:val="Akapitzlist"/>
              <w:spacing w:after="0" w:line="240" w:lineRule="auto"/>
              <w:ind w:left="57"/>
              <w:rPr>
                <w:b/>
              </w:rPr>
            </w:pPr>
            <w:r w:rsidRPr="00231FBF">
              <w:rPr>
                <w:sz w:val="22"/>
              </w:rPr>
              <w:t>Ocena rozwoju psychomotoryczny dziecka w wieku 7-12 miesięcy</w:t>
            </w:r>
          </w:p>
        </w:tc>
        <w:tc>
          <w:tcPr>
            <w:tcW w:w="1053" w:type="dxa"/>
            <w:vAlign w:val="center"/>
          </w:tcPr>
          <w:p w:rsidR="009A5436" w:rsidRPr="00231FBF" w:rsidRDefault="009A5436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9A5436" w:rsidRPr="00F01AFA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9A5436" w:rsidRPr="00F01AFA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9A5436" w:rsidRPr="00231FBF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i/>
                <w:color w:val="auto"/>
              </w:rPr>
            </w:pPr>
            <w:r w:rsidRPr="00231FBF">
              <w:rPr>
                <w:rFonts w:eastAsia="Calibri"/>
                <w:bCs/>
                <w:i/>
                <w:color w:val="auto"/>
                <w:sz w:val="22"/>
              </w:rPr>
              <w:t>Literatura obowiązkowa:</w:t>
            </w:r>
          </w:p>
          <w:p w:rsidR="009A5436" w:rsidRPr="00231FBF" w:rsidRDefault="009A5436" w:rsidP="009A5436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rFonts w:eastAsia="Calibri"/>
                <w:bCs/>
                <w:color w:val="auto"/>
                <w:sz w:val="22"/>
              </w:rPr>
              <w:t xml:space="preserve">Matyja M, Domagalska M. Podstawy usprawniania </w:t>
            </w:r>
            <w:proofErr w:type="spellStart"/>
            <w:r w:rsidRPr="00231FBF">
              <w:rPr>
                <w:rFonts w:eastAsia="Calibri"/>
                <w:bCs/>
                <w:color w:val="auto"/>
                <w:sz w:val="22"/>
              </w:rPr>
              <w:t>neurorozwojowego</w:t>
            </w:r>
            <w:proofErr w:type="spellEnd"/>
            <w:r w:rsidRPr="00231FBF">
              <w:rPr>
                <w:rFonts w:eastAsia="Calibri"/>
                <w:bCs/>
                <w:color w:val="auto"/>
                <w:sz w:val="22"/>
              </w:rPr>
              <w:t xml:space="preserve"> według Berty i Karela </w:t>
            </w:r>
            <w:proofErr w:type="spellStart"/>
            <w:r w:rsidRPr="00231FBF">
              <w:rPr>
                <w:rFonts w:eastAsia="Calibri"/>
                <w:bCs/>
                <w:color w:val="auto"/>
                <w:sz w:val="22"/>
              </w:rPr>
              <w:t>Bobathów</w:t>
            </w:r>
            <w:proofErr w:type="spellEnd"/>
            <w:r w:rsidRPr="00231FBF">
              <w:rPr>
                <w:rFonts w:eastAsia="Calibri"/>
                <w:bCs/>
                <w:color w:val="auto"/>
                <w:sz w:val="22"/>
              </w:rPr>
              <w:t>. AWF Katowice, 2015.</w:t>
            </w:r>
          </w:p>
          <w:p w:rsidR="009A5436" w:rsidRDefault="009A5436" w:rsidP="009A5436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sz w:val="22"/>
                <w:lang w:eastAsia="en-US"/>
              </w:rPr>
              <w:t xml:space="preserve">Domagalska-Szopa M., Szopa A.: </w:t>
            </w:r>
            <w:r w:rsidRPr="00231FBF">
              <w:rPr>
                <w:rFonts w:eastAsia="Calibri"/>
                <w:color w:val="auto"/>
                <w:sz w:val="22"/>
                <w:lang w:eastAsia="en-US"/>
              </w:rPr>
              <w:t xml:space="preserve">Postępowanie usprawniające w mózgowym porażeniu dziecięcy. </w:t>
            </w:r>
            <w:r w:rsidRPr="00231FBF">
              <w:rPr>
                <w:rFonts w:eastAsia="Calibri"/>
                <w:bCs/>
                <w:color w:val="auto"/>
                <w:sz w:val="22"/>
                <w:lang w:eastAsia="en-US"/>
              </w:rPr>
              <w:t>Wyd. Śląski Uniwersytet Medyczny w Katowicach, Katowice 2018.</w:t>
            </w:r>
          </w:p>
          <w:p w:rsidR="009A5436" w:rsidRPr="0037090D" w:rsidRDefault="009A5436" w:rsidP="009A5436">
            <w:pPr>
              <w:pStyle w:val="Akapitzlist"/>
              <w:numPr>
                <w:ilvl w:val="0"/>
                <w:numId w:val="26"/>
              </w:numPr>
              <w:spacing w:line="240" w:lineRule="auto"/>
            </w:pPr>
            <w:r w:rsidRPr="00D616E5">
              <w:rPr>
                <w:sz w:val="22"/>
                <w:lang w:eastAsia="en-US"/>
              </w:rPr>
              <w:t>Domagalska-Szopa M., Szopa A.:</w:t>
            </w:r>
            <w:r w:rsidRPr="00D616E5">
              <w:rPr>
                <w:sz w:val="22"/>
              </w:rPr>
              <w:t xml:space="preserve"> Postępowanie usprawniające w mózgowym porażeniu dziecięcym</w:t>
            </w:r>
            <w:r>
              <w:rPr>
                <w:sz w:val="22"/>
              </w:rPr>
              <w:t xml:space="preserve">. </w:t>
            </w:r>
            <w:r w:rsidRPr="00D616E5">
              <w:rPr>
                <w:sz w:val="22"/>
              </w:rPr>
              <w:t xml:space="preserve">Wrocław: </w:t>
            </w:r>
            <w:proofErr w:type="spellStart"/>
            <w:r w:rsidRPr="00D616E5">
              <w:rPr>
                <w:sz w:val="22"/>
              </w:rPr>
              <w:t>Edra</w:t>
            </w:r>
            <w:proofErr w:type="spellEnd"/>
            <w:r w:rsidRPr="00D616E5">
              <w:rPr>
                <w:sz w:val="22"/>
              </w:rPr>
              <w:t xml:space="preserve"> Urban &amp; Partner, 2023. </w:t>
            </w:r>
          </w:p>
          <w:p w:rsidR="009A5436" w:rsidRPr="00231FBF" w:rsidRDefault="009A5436" w:rsidP="009A5436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rFonts w:eastAsia="Calibri"/>
                <w:bCs/>
                <w:color w:val="auto"/>
                <w:sz w:val="22"/>
                <w:lang w:eastAsia="en-US"/>
              </w:rPr>
              <w:t xml:space="preserve">Sadowska L.: </w:t>
            </w:r>
            <w:proofErr w:type="spellStart"/>
            <w:r w:rsidRPr="00231FBF">
              <w:rPr>
                <w:rFonts w:eastAsia="Calibri"/>
                <w:bCs/>
                <w:color w:val="auto"/>
                <w:sz w:val="22"/>
                <w:lang w:eastAsia="en-US"/>
              </w:rPr>
              <w:t>Neurokinezjologiczna</w:t>
            </w:r>
            <w:proofErr w:type="spellEnd"/>
            <w:r w:rsidRPr="00231FBF">
              <w:rPr>
                <w:rFonts w:eastAsia="Calibri"/>
                <w:bCs/>
                <w:color w:val="auto"/>
                <w:sz w:val="22"/>
                <w:lang w:eastAsia="en-US"/>
              </w:rPr>
              <w:t xml:space="preserve"> diagnostyka i terapia dzieci z zaburzeniami rozwoju psychoruchowego. AWF, Wrocław, 2001</w:t>
            </w:r>
            <w:r>
              <w:rPr>
                <w:rFonts w:eastAsia="Calibri"/>
                <w:bCs/>
                <w:color w:val="auto"/>
                <w:sz w:val="22"/>
                <w:lang w:eastAsia="en-US"/>
              </w:rPr>
              <w:t>.</w:t>
            </w:r>
          </w:p>
          <w:p w:rsidR="009A5436" w:rsidRPr="00231FBF" w:rsidRDefault="009A5436" w:rsidP="009A5436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rFonts w:eastAsia="Calibri"/>
                <w:bCs/>
                <w:color w:val="auto"/>
                <w:sz w:val="22"/>
                <w:lang w:eastAsia="en-US"/>
              </w:rPr>
              <w:t xml:space="preserve">Szmigiel C. (red.): Podstawy diagnostyki i rehabilitacji dzieci i młodzieży niepełnosprawnej. Wyd. AWF </w:t>
            </w:r>
            <w:r w:rsidRPr="00231FBF">
              <w:rPr>
                <w:bCs/>
                <w:sz w:val="22"/>
                <w:lang w:eastAsia="en-US"/>
              </w:rPr>
              <w:t>Kraków, 2001</w:t>
            </w:r>
            <w:r>
              <w:rPr>
                <w:bCs/>
                <w:sz w:val="22"/>
                <w:lang w:eastAsia="en-US"/>
              </w:rPr>
              <w:t>.</w:t>
            </w:r>
          </w:p>
          <w:p w:rsidR="009A5436" w:rsidRPr="00231FBF" w:rsidRDefault="009A5436" w:rsidP="009A5436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231FBF">
              <w:rPr>
                <w:rFonts w:eastAsia="Calibri"/>
                <w:color w:val="auto"/>
                <w:sz w:val="22"/>
                <w:lang w:eastAsia="en-US"/>
              </w:rPr>
              <w:t xml:space="preserve">Śliwiński Z., Sieroń A.: Wielka Fizjoterapia T. 1, </w:t>
            </w:r>
            <w:r w:rsidRPr="00231FBF">
              <w:rPr>
                <w:rFonts w:eastAsia="Calibri"/>
                <w:i/>
                <w:color w:val="auto"/>
                <w:sz w:val="22"/>
                <w:lang w:eastAsia="en-US"/>
              </w:rPr>
              <w:t>rozdziały: 8;11.3;12; 13; 14; 19; 28</w:t>
            </w:r>
            <w:r w:rsidRPr="00231FBF">
              <w:rPr>
                <w:rFonts w:eastAsia="Calibri"/>
                <w:color w:val="auto"/>
                <w:sz w:val="22"/>
                <w:lang w:eastAsia="en-US"/>
              </w:rPr>
              <w:t xml:space="preserve">; </w:t>
            </w:r>
            <w:proofErr w:type="spellStart"/>
            <w:r w:rsidRPr="00231FBF">
              <w:rPr>
                <w:rFonts w:eastAsia="Calibri"/>
                <w:color w:val="auto"/>
                <w:sz w:val="22"/>
                <w:lang w:eastAsia="en-US"/>
              </w:rPr>
              <w:t>Elsevier</w:t>
            </w:r>
            <w:proofErr w:type="spellEnd"/>
            <w:r w:rsidRPr="00231FBF">
              <w:rPr>
                <w:rFonts w:eastAsia="Calibri"/>
                <w:color w:val="auto"/>
                <w:sz w:val="22"/>
                <w:lang w:eastAsia="en-US"/>
              </w:rPr>
              <w:t xml:space="preserve"> Urban&amp; Partner, Wrocław, 2014</w:t>
            </w:r>
            <w:r>
              <w:rPr>
                <w:rFonts w:eastAsia="Calibri"/>
                <w:color w:val="auto"/>
                <w:sz w:val="22"/>
                <w:lang w:eastAsia="en-US"/>
              </w:rPr>
              <w:t>.</w:t>
            </w:r>
          </w:p>
          <w:p w:rsidR="009A5436" w:rsidRPr="00231FBF" w:rsidRDefault="009A5436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rFonts w:eastAsia="Calibri"/>
                <w:i/>
                <w:color w:val="auto"/>
                <w:sz w:val="22"/>
                <w:lang w:eastAsia="en-US"/>
              </w:rPr>
              <w:t>Literatura Uzupełniająca</w:t>
            </w:r>
            <w:r w:rsidRPr="00231FBF">
              <w:rPr>
                <w:rFonts w:eastAsia="Calibri"/>
                <w:color w:val="auto"/>
                <w:sz w:val="22"/>
                <w:lang w:eastAsia="en-US"/>
              </w:rPr>
              <w:t>:</w:t>
            </w:r>
          </w:p>
          <w:p w:rsidR="009A5436" w:rsidRPr="00231FBF" w:rsidRDefault="009A5436" w:rsidP="009A5436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proofErr w:type="spellStart"/>
            <w:r w:rsidRPr="00231FBF">
              <w:rPr>
                <w:rFonts w:eastAsia="Calibri"/>
                <w:color w:val="auto"/>
                <w:sz w:val="22"/>
                <w:lang w:eastAsia="en-US"/>
              </w:rPr>
              <w:t>Tecklin</w:t>
            </w:r>
            <w:proofErr w:type="spellEnd"/>
            <w:r w:rsidRPr="00231FBF">
              <w:rPr>
                <w:rFonts w:eastAsia="Calibri"/>
                <w:color w:val="auto"/>
                <w:sz w:val="22"/>
                <w:lang w:eastAsia="en-US"/>
              </w:rPr>
              <w:t xml:space="preserve"> J. S.: Fizjoterapia Pediatryczna, Wyd. Lek. PZWL, Warszawa, 1996</w:t>
            </w:r>
            <w:r>
              <w:rPr>
                <w:rFonts w:eastAsia="Calibri"/>
                <w:color w:val="auto"/>
                <w:sz w:val="22"/>
                <w:lang w:eastAsia="en-US"/>
              </w:rPr>
              <w:t>.</w:t>
            </w:r>
          </w:p>
          <w:p w:rsidR="009A5436" w:rsidRPr="00231FBF" w:rsidRDefault="009A5436" w:rsidP="009A5436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proofErr w:type="spellStart"/>
            <w:r w:rsidRPr="00231FBF">
              <w:rPr>
                <w:color w:val="auto"/>
                <w:kern w:val="36"/>
                <w:sz w:val="22"/>
              </w:rPr>
              <w:t>Buckup</w:t>
            </w:r>
            <w:proofErr w:type="spellEnd"/>
            <w:r w:rsidRPr="00231FBF">
              <w:rPr>
                <w:color w:val="auto"/>
                <w:kern w:val="36"/>
                <w:sz w:val="22"/>
              </w:rPr>
              <w:t xml:space="preserve"> K.: Testy kliniczne w badaniu kości, stawów i mięśni, PZWL, Warszawa, 2007</w:t>
            </w:r>
            <w:r>
              <w:rPr>
                <w:color w:val="auto"/>
                <w:kern w:val="36"/>
                <w:sz w:val="22"/>
              </w:rPr>
              <w:t>.</w:t>
            </w:r>
          </w:p>
          <w:p w:rsidR="009A5436" w:rsidRPr="00231FBF" w:rsidRDefault="009A5436" w:rsidP="009A5436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color w:val="auto"/>
                <w:kern w:val="36"/>
                <w:sz w:val="22"/>
              </w:rPr>
              <w:t>Nowotny J. Podstawy fizjoterapii. Podstawy teoretyczne i wybrane aspekty praktyczne. Część 1, Wyd. Kasper, 2004</w:t>
            </w:r>
            <w:r>
              <w:rPr>
                <w:color w:val="auto"/>
                <w:kern w:val="36"/>
                <w:sz w:val="22"/>
              </w:rPr>
              <w:t>.</w:t>
            </w:r>
          </w:p>
          <w:p w:rsidR="009A5436" w:rsidRPr="00231FBF" w:rsidRDefault="009A5436" w:rsidP="009A5436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color w:val="auto"/>
                <w:kern w:val="36"/>
                <w:sz w:val="22"/>
              </w:rPr>
              <w:t>Białoszewski D.: Fizjoterapia w ortopedii. PZWL, 2014</w:t>
            </w:r>
            <w:r>
              <w:rPr>
                <w:color w:val="auto"/>
                <w:kern w:val="36"/>
                <w:sz w:val="22"/>
              </w:rPr>
              <w:t>.</w:t>
            </w:r>
          </w:p>
          <w:p w:rsidR="009A5436" w:rsidRPr="00F01AFA" w:rsidRDefault="009A5436" w:rsidP="009A5436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b/>
                <w:lang w:eastAsia="en-US"/>
              </w:rPr>
            </w:pPr>
            <w:proofErr w:type="spellStart"/>
            <w:r w:rsidRPr="00231FBF">
              <w:rPr>
                <w:color w:val="auto"/>
                <w:kern w:val="36"/>
                <w:sz w:val="22"/>
              </w:rPr>
              <w:t>Ronikier</w:t>
            </w:r>
            <w:proofErr w:type="spellEnd"/>
            <w:r w:rsidRPr="00231FBF">
              <w:rPr>
                <w:color w:val="auto"/>
                <w:kern w:val="36"/>
                <w:sz w:val="22"/>
              </w:rPr>
              <w:t xml:space="preserve"> A. Diagnostyka funkcjonalna w Fizjoterapii, Wyd. Lekarskie PZWL, 2012</w:t>
            </w:r>
            <w:r>
              <w:rPr>
                <w:color w:val="auto"/>
                <w:kern w:val="36"/>
                <w:sz w:val="22"/>
              </w:rPr>
              <w:t>.</w:t>
            </w:r>
          </w:p>
        </w:tc>
      </w:tr>
      <w:tr w:rsidR="009A5436" w:rsidRPr="00F01AFA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9A5436" w:rsidRPr="00F01AFA" w:rsidTr="00D65F10">
        <w:tc>
          <w:tcPr>
            <w:tcW w:w="9748" w:type="dxa"/>
            <w:gridSpan w:val="5"/>
            <w:vAlign w:val="center"/>
          </w:tcPr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9A5436" w:rsidRPr="00F01AFA" w:rsidRDefault="009A5436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9A5436" w:rsidRPr="00F01AFA" w:rsidRDefault="009A5436" w:rsidP="009A5436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9A5436" w:rsidRPr="00F01AFA" w:rsidRDefault="009A5436" w:rsidP="009A5436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9A5436" w:rsidRPr="00C90821" w:rsidRDefault="009A5436" w:rsidP="00C90821">
      <w:pPr>
        <w:spacing w:after="306" w:line="259" w:lineRule="auto"/>
        <w:ind w:left="426" w:right="0" w:firstLine="0"/>
        <w:jc w:val="left"/>
        <w:rPr>
          <w:sz w:val="22"/>
        </w:rPr>
      </w:pPr>
    </w:p>
    <w:bookmarkEnd w:id="0"/>
    <w:p w:rsidR="008050C4" w:rsidRPr="00C908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C90821" w:rsidSect="00386E89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B53" w:rsidRDefault="00F84B53">
      <w:pPr>
        <w:spacing w:after="0" w:line="240" w:lineRule="auto"/>
      </w:pPr>
      <w:r>
        <w:separator/>
      </w:r>
    </w:p>
  </w:endnote>
  <w:endnote w:type="continuationSeparator" w:id="0">
    <w:p w:rsidR="00F84B53" w:rsidRDefault="00F84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71DC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71DC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74C4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71DC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B53" w:rsidRDefault="00F84B53">
      <w:pPr>
        <w:spacing w:after="0" w:line="240" w:lineRule="auto"/>
      </w:pPr>
      <w:r>
        <w:separator/>
      </w:r>
    </w:p>
  </w:footnote>
  <w:footnote w:type="continuationSeparator" w:id="0">
    <w:p w:rsidR="00F84B53" w:rsidRDefault="00F84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5A04CF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7E4253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7"/>
  </w:num>
  <w:num w:numId="7">
    <w:abstractNumId w:val="19"/>
  </w:num>
  <w:num w:numId="8">
    <w:abstractNumId w:val="16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20"/>
  </w:num>
  <w:num w:numId="14">
    <w:abstractNumId w:val="23"/>
  </w:num>
  <w:num w:numId="15">
    <w:abstractNumId w:val="12"/>
  </w:num>
  <w:num w:numId="16">
    <w:abstractNumId w:val="14"/>
  </w:num>
  <w:num w:numId="17">
    <w:abstractNumId w:val="24"/>
  </w:num>
  <w:num w:numId="18">
    <w:abstractNumId w:val="1"/>
  </w:num>
  <w:num w:numId="19">
    <w:abstractNumId w:val="22"/>
  </w:num>
  <w:num w:numId="20">
    <w:abstractNumId w:val="21"/>
  </w:num>
  <w:num w:numId="21">
    <w:abstractNumId w:val="25"/>
  </w:num>
  <w:num w:numId="22">
    <w:abstractNumId w:val="7"/>
  </w:num>
  <w:num w:numId="23">
    <w:abstractNumId w:val="4"/>
  </w:num>
  <w:num w:numId="24">
    <w:abstractNumId w:val="13"/>
  </w:num>
  <w:num w:numId="25">
    <w:abstractNumId w:val="18"/>
  </w:num>
  <w:num w:numId="26">
    <w:abstractNumId w:val="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02BBF"/>
    <w:rsid w:val="00011C7F"/>
    <w:rsid w:val="00052014"/>
    <w:rsid w:val="0005263D"/>
    <w:rsid w:val="00066183"/>
    <w:rsid w:val="00083902"/>
    <w:rsid w:val="00084B03"/>
    <w:rsid w:val="001032AA"/>
    <w:rsid w:val="001A76A8"/>
    <w:rsid w:val="001E0405"/>
    <w:rsid w:val="001F5480"/>
    <w:rsid w:val="00231FBF"/>
    <w:rsid w:val="002438DC"/>
    <w:rsid w:val="00306823"/>
    <w:rsid w:val="0037090D"/>
    <w:rsid w:val="00371DC7"/>
    <w:rsid w:val="00374FCD"/>
    <w:rsid w:val="00386E89"/>
    <w:rsid w:val="0039662D"/>
    <w:rsid w:val="003E2114"/>
    <w:rsid w:val="003F3080"/>
    <w:rsid w:val="00545AB1"/>
    <w:rsid w:val="00570B81"/>
    <w:rsid w:val="005B08C7"/>
    <w:rsid w:val="00633E13"/>
    <w:rsid w:val="0069271C"/>
    <w:rsid w:val="006B4F4A"/>
    <w:rsid w:val="006D19B5"/>
    <w:rsid w:val="006D1DB7"/>
    <w:rsid w:val="00732FFF"/>
    <w:rsid w:val="0074572D"/>
    <w:rsid w:val="00794154"/>
    <w:rsid w:val="008050C4"/>
    <w:rsid w:val="009A5436"/>
    <w:rsid w:val="00A74C49"/>
    <w:rsid w:val="00AC2073"/>
    <w:rsid w:val="00B30DFD"/>
    <w:rsid w:val="00B916D3"/>
    <w:rsid w:val="00BA757E"/>
    <w:rsid w:val="00BE2ED3"/>
    <w:rsid w:val="00C7164C"/>
    <w:rsid w:val="00C806F4"/>
    <w:rsid w:val="00C90821"/>
    <w:rsid w:val="00CC5EAF"/>
    <w:rsid w:val="00CD6042"/>
    <w:rsid w:val="00D775F2"/>
    <w:rsid w:val="00D87B18"/>
    <w:rsid w:val="00D87E49"/>
    <w:rsid w:val="00DD3BB8"/>
    <w:rsid w:val="00DE4454"/>
    <w:rsid w:val="00DF048B"/>
    <w:rsid w:val="00DF3AB9"/>
    <w:rsid w:val="00E4708E"/>
    <w:rsid w:val="00E5664B"/>
    <w:rsid w:val="00E84E31"/>
    <w:rsid w:val="00E95559"/>
    <w:rsid w:val="00EA2DFF"/>
    <w:rsid w:val="00EA3B0C"/>
    <w:rsid w:val="00EB6658"/>
    <w:rsid w:val="00F01AFA"/>
    <w:rsid w:val="00F6450F"/>
    <w:rsid w:val="00F72354"/>
    <w:rsid w:val="00F76DED"/>
    <w:rsid w:val="00F84B53"/>
    <w:rsid w:val="00FA0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118563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74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C4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4C49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6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E8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1138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2024-02-26T12:05:00Z</dcterms:created>
  <dcterms:modified xsi:type="dcterms:W3CDTF">2024-08-21T11:25:00Z</dcterms:modified>
</cp:coreProperties>
</file>