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086" w:rsidRPr="002D21A6" w:rsidRDefault="00DB3086" w:rsidP="00B6160E">
      <w:pPr>
        <w:spacing w:after="160"/>
        <w:jc w:val="right"/>
        <w:rPr>
          <w:rFonts w:cs="Times New Roman"/>
          <w:b/>
          <w:color w:val="000000" w:themeColor="text1"/>
          <w:sz w:val="22"/>
          <w:szCs w:val="22"/>
        </w:rPr>
      </w:pPr>
      <w:r w:rsidRPr="002D21A6">
        <w:rPr>
          <w:rFonts w:cs="Times New Roman"/>
          <w:b/>
          <w:i/>
          <w:sz w:val="22"/>
          <w:szCs w:val="22"/>
        </w:rPr>
        <w:t>Załącznik nr 1a</w:t>
      </w:r>
    </w:p>
    <w:p w:rsidR="00B6160E" w:rsidRPr="002D21A6" w:rsidRDefault="008E3729" w:rsidP="002D21A6">
      <w:pPr>
        <w:spacing w:before="120" w:after="120"/>
        <w:jc w:val="center"/>
        <w:rPr>
          <w:rFonts w:cs="Times New Roman"/>
          <w:b/>
          <w:color w:val="000000" w:themeColor="text1"/>
          <w:sz w:val="22"/>
          <w:szCs w:val="22"/>
        </w:rPr>
      </w:pPr>
      <w:r w:rsidRPr="002D21A6">
        <w:rPr>
          <w:rFonts w:cs="Times New Roman"/>
          <w:b/>
          <w:color w:val="000000" w:themeColor="text1"/>
          <w:sz w:val="22"/>
          <w:szCs w:val="22"/>
        </w:rPr>
        <w:t>Karta przedmiotu</w:t>
      </w:r>
    </w:p>
    <w:p w:rsidR="008E3729" w:rsidRPr="002D21A6" w:rsidRDefault="008E3729" w:rsidP="002D21A6">
      <w:pPr>
        <w:spacing w:before="120" w:after="120"/>
        <w:jc w:val="center"/>
        <w:rPr>
          <w:rFonts w:cs="Times New Roman"/>
          <w:b/>
          <w:color w:val="000000" w:themeColor="text1"/>
          <w:sz w:val="22"/>
          <w:szCs w:val="22"/>
        </w:rPr>
      </w:pPr>
      <w:r w:rsidRPr="002D21A6">
        <w:rPr>
          <w:rFonts w:cs="Times New Roman"/>
          <w:b/>
          <w:color w:val="000000" w:themeColor="text1"/>
          <w:sz w:val="22"/>
          <w:szCs w:val="22"/>
        </w:rPr>
        <w:t>Cz. 1</w:t>
      </w:r>
    </w:p>
    <w:tbl>
      <w:tblPr>
        <w:tblW w:w="972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100"/>
        <w:gridCol w:w="709"/>
        <w:gridCol w:w="383"/>
        <w:gridCol w:w="2579"/>
        <w:gridCol w:w="1857"/>
        <w:gridCol w:w="1094"/>
      </w:tblGrid>
      <w:tr w:rsidR="008E3729" w:rsidRPr="002D21A6" w:rsidTr="00301F0D">
        <w:tc>
          <w:tcPr>
            <w:tcW w:w="9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E3729" w:rsidRPr="002D21A6" w:rsidRDefault="008E3729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8E3729" w:rsidRPr="002D21A6" w:rsidTr="00301F0D">
        <w:tc>
          <w:tcPr>
            <w:tcW w:w="4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3729" w:rsidRPr="002D21A6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 xml:space="preserve"> Fizjoterapia</w:t>
            </w:r>
          </w:p>
        </w:tc>
        <w:tc>
          <w:tcPr>
            <w:tcW w:w="5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A72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color w:val="000000" w:themeColor="text1"/>
                <w:sz w:val="22"/>
                <w:szCs w:val="22"/>
              </w:rPr>
              <w:t>2. Poziom kształcenia:</w:t>
            </w:r>
            <w:r w:rsidR="00301F0D" w:rsidRPr="002D21A6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8E3729" w:rsidRPr="002D21A6" w:rsidRDefault="00301F0D" w:rsidP="000919A0">
            <w:pPr>
              <w:pStyle w:val="Akapitzlist"/>
              <w:spacing w:line="100" w:lineRule="atLeast"/>
              <w:ind w:left="0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j</w:t>
            </w:r>
            <w:r w:rsidR="008E3729" w:rsidRPr="002D21A6">
              <w:rPr>
                <w:rFonts w:cs="Times New Roman"/>
                <w:color w:val="000000" w:themeColor="text1"/>
                <w:sz w:val="22"/>
                <w:szCs w:val="22"/>
              </w:rPr>
              <w:t xml:space="preserve">ednolite studia magisterskie / profil </w:t>
            </w:r>
            <w:proofErr w:type="spellStart"/>
            <w:r w:rsidR="008E3729" w:rsidRPr="002D21A6">
              <w:rPr>
                <w:rFonts w:cs="Times New Roman"/>
                <w:color w:val="000000" w:themeColor="text1"/>
                <w:sz w:val="22"/>
                <w:szCs w:val="22"/>
              </w:rPr>
              <w:t>ogólnoakademicki</w:t>
            </w:r>
            <w:proofErr w:type="spellEnd"/>
          </w:p>
          <w:p w:rsidR="008E3729" w:rsidRPr="002D21A6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color w:val="000000" w:themeColor="text1"/>
                <w:sz w:val="22"/>
                <w:szCs w:val="22"/>
              </w:rPr>
              <w:t>3. Forma studiów:</w:t>
            </w: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 xml:space="preserve"> stacjonarne</w:t>
            </w:r>
          </w:p>
        </w:tc>
      </w:tr>
      <w:tr w:rsidR="008E3729" w:rsidRPr="002D21A6" w:rsidTr="00301F0D">
        <w:tc>
          <w:tcPr>
            <w:tcW w:w="4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29" w:rsidRPr="002D21A6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color w:val="000000" w:themeColor="text1"/>
                <w:sz w:val="22"/>
                <w:szCs w:val="22"/>
              </w:rPr>
              <w:t>4. Rok:</w:t>
            </w:r>
            <w:r w:rsidR="00287355" w:rsidRPr="002D21A6">
              <w:rPr>
                <w:rFonts w:cs="Times New Roman"/>
                <w:color w:val="000000" w:themeColor="text1"/>
                <w:sz w:val="22"/>
                <w:szCs w:val="22"/>
              </w:rPr>
              <w:t xml:space="preserve"> IV / </w:t>
            </w:r>
            <w:r w:rsidR="00967028" w:rsidRPr="002D21A6">
              <w:rPr>
                <w:rFonts w:cs="Times New Roman"/>
                <w:color w:val="000000" w:themeColor="text1"/>
                <w:sz w:val="22"/>
                <w:szCs w:val="22"/>
              </w:rPr>
              <w:t>cykl 2024-2029</w:t>
            </w:r>
          </w:p>
        </w:tc>
        <w:tc>
          <w:tcPr>
            <w:tcW w:w="5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29" w:rsidRPr="002D21A6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="00FA53D9" w:rsidRPr="002D21A6">
              <w:rPr>
                <w:rFonts w:cs="Times New Roman"/>
                <w:color w:val="000000" w:themeColor="text1"/>
                <w:sz w:val="22"/>
                <w:szCs w:val="22"/>
              </w:rPr>
              <w:t>VII,</w:t>
            </w: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 xml:space="preserve"> VIII</w:t>
            </w:r>
          </w:p>
        </w:tc>
      </w:tr>
      <w:tr w:rsidR="008E3729" w:rsidRPr="002D21A6" w:rsidTr="00301F0D">
        <w:tc>
          <w:tcPr>
            <w:tcW w:w="9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29" w:rsidRPr="002D21A6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color w:val="000000" w:themeColor="text1"/>
                <w:sz w:val="22"/>
                <w:szCs w:val="22"/>
              </w:rPr>
              <w:t xml:space="preserve">6. Nazwa przedmiotu: </w:t>
            </w:r>
            <w:r w:rsidRPr="002D21A6">
              <w:rPr>
                <w:rFonts w:cs="Times New Roman"/>
                <w:bCs/>
                <w:color w:val="000000" w:themeColor="text1"/>
                <w:sz w:val="22"/>
                <w:szCs w:val="22"/>
              </w:rPr>
              <w:t>Diagnostyka funkcjonalna w dysfunkcjach układu ruchu</w:t>
            </w:r>
          </w:p>
        </w:tc>
      </w:tr>
      <w:tr w:rsidR="008E3729" w:rsidRPr="002D21A6" w:rsidTr="00301F0D">
        <w:tc>
          <w:tcPr>
            <w:tcW w:w="9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29" w:rsidRPr="002D21A6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301F0D" w:rsidRPr="002D21A6" w:rsidTr="00301F0D">
        <w:trPr>
          <w:trHeight w:val="2408"/>
        </w:trPr>
        <w:tc>
          <w:tcPr>
            <w:tcW w:w="972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01F0D" w:rsidRPr="002D21A6" w:rsidRDefault="00301F0D" w:rsidP="00FC2731">
            <w:pPr>
              <w:spacing w:after="13" w:line="259" w:lineRule="auto"/>
              <w:ind w:left="28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color w:val="000000" w:themeColor="text1"/>
                <w:sz w:val="22"/>
                <w:szCs w:val="22"/>
              </w:rPr>
              <w:t>8.  Cel/-e przedmiotu</w:t>
            </w:r>
          </w:p>
          <w:p w:rsidR="00301F0D" w:rsidRPr="002D21A6" w:rsidRDefault="00301F0D" w:rsidP="002D21A6">
            <w:pPr>
              <w:spacing w:after="13" w:line="259" w:lineRule="auto"/>
              <w:ind w:left="28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2D21A6">
              <w:rPr>
                <w:rFonts w:eastAsia="Times New Roman" w:cs="Times New Roman"/>
                <w:sz w:val="22"/>
                <w:szCs w:val="22"/>
              </w:rPr>
              <w:t>Celem przedmiotu jest zaznajomienie studenta z objawami zmian patologicznych i zaburzeń funkcjonalnych oraz zapoznanie studenta z zasadami diagnozowania  najczęstszych dysfunkcji narządu ruchu w zakresie: ortopedii i traumatologii, medycyny sportowej, reumatologii, neurologii i neurochirurgii, a także nauczanie analizowania i interpretacji podstawowych badań czynnościowych umożliwiających racjonalne zaplanowanie rehabilitacji i właściwe stosowanie środków fizjoterapii w powiązaniu z wiedzą kliniczną.</w:t>
            </w:r>
          </w:p>
          <w:p w:rsidR="002D21A6" w:rsidRPr="002D21A6" w:rsidRDefault="002D21A6" w:rsidP="00FC2731">
            <w:pPr>
              <w:spacing w:after="13" w:line="259" w:lineRule="auto"/>
              <w:ind w:left="28"/>
              <w:rPr>
                <w:rFonts w:eastAsia="Times New Roman" w:cs="Times New Roman"/>
                <w:b/>
                <w:sz w:val="22"/>
                <w:szCs w:val="22"/>
              </w:rPr>
            </w:pPr>
          </w:p>
          <w:p w:rsidR="00301F0D" w:rsidRPr="002D21A6" w:rsidRDefault="00301F0D" w:rsidP="002D21A6">
            <w:pPr>
              <w:spacing w:after="13" w:line="259" w:lineRule="auto"/>
              <w:ind w:left="28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2D21A6">
              <w:rPr>
                <w:rFonts w:eastAsia="Times New Roman" w:cs="Times New Roman"/>
                <w:b/>
                <w:sz w:val="22"/>
                <w:szCs w:val="22"/>
              </w:rPr>
              <w:t xml:space="preserve">Efekty uczenia się/odniesienie do efektów uczenia się </w:t>
            </w:r>
            <w:r w:rsidRPr="002D21A6">
              <w:rPr>
                <w:rFonts w:eastAsia="Times New Roman" w:cs="Times New Roman"/>
                <w:sz w:val="22"/>
                <w:szCs w:val="22"/>
              </w:rPr>
              <w:t xml:space="preserve">zawartych w </w:t>
            </w:r>
            <w:r w:rsidRPr="002D21A6">
              <w:rPr>
                <w:rFonts w:eastAsia="Times New Roman" w:cs="Times New Roman"/>
                <w:i/>
                <w:sz w:val="22"/>
                <w:szCs w:val="22"/>
              </w:rPr>
              <w:t>(właściwe podkreślić)</w:t>
            </w:r>
            <w:r w:rsidRPr="002D21A6">
              <w:rPr>
                <w:rFonts w:eastAsia="Times New Roman" w:cs="Times New Roman"/>
                <w:sz w:val="22"/>
                <w:szCs w:val="22"/>
              </w:rPr>
              <w:t xml:space="preserve">: </w:t>
            </w:r>
          </w:p>
          <w:p w:rsidR="00301F0D" w:rsidRPr="002D21A6" w:rsidRDefault="00301F0D" w:rsidP="002D21A6">
            <w:pPr>
              <w:spacing w:after="15" w:line="263" w:lineRule="auto"/>
              <w:ind w:left="28"/>
              <w:jc w:val="both"/>
              <w:rPr>
                <w:rFonts w:eastAsia="Times New Roman" w:cs="Times New Roman"/>
                <w:i/>
                <w:sz w:val="22"/>
                <w:szCs w:val="22"/>
              </w:rPr>
            </w:pPr>
            <w:r w:rsidRPr="002D21A6">
              <w:rPr>
                <w:rFonts w:eastAsia="Times New Roman" w:cs="Times New Roman"/>
                <w:sz w:val="22"/>
                <w:szCs w:val="22"/>
              </w:rPr>
              <w:t>standardach kształcenia (Rozporządzenie Ministra Nauki i Szkolnictwa Wyższego)/Uchwale Senatu SUM</w:t>
            </w:r>
            <w:r w:rsidRPr="002D21A6">
              <w:rPr>
                <w:rFonts w:eastAsia="Times New Roman" w:cs="Times New Roman"/>
                <w:i/>
                <w:sz w:val="22"/>
                <w:szCs w:val="22"/>
              </w:rPr>
              <w:t>(podać określenia zawarte w standardach kształcenia/symbole efektów zatwierdzone Uchwałą Senatu SUM)</w:t>
            </w:r>
          </w:p>
          <w:p w:rsidR="00301F0D" w:rsidRPr="002D21A6" w:rsidRDefault="00301F0D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Cs/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D.W2, D.W6, D.W16</w:t>
            </w:r>
            <w:r w:rsidRPr="002D21A6">
              <w:rPr>
                <w:rFonts w:cs="Times New Roman"/>
                <w:sz w:val="22"/>
                <w:szCs w:val="22"/>
              </w:rPr>
              <w:t xml:space="preserve">, </w:t>
            </w:r>
          </w:p>
          <w:p w:rsidR="00301F0D" w:rsidRPr="002D21A6" w:rsidRDefault="00301F0D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Cs/>
                <w:color w:val="000000" w:themeColor="text1"/>
                <w:sz w:val="22"/>
                <w:szCs w:val="22"/>
              </w:rPr>
              <w:t>w zakresie umiejętności student potrafi:</w:t>
            </w: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 xml:space="preserve"> D.U1, D.U2</w:t>
            </w:r>
            <w:r w:rsidRPr="002D21A6">
              <w:rPr>
                <w:rFonts w:cs="Times New Roman"/>
                <w:sz w:val="22"/>
                <w:szCs w:val="22"/>
              </w:rPr>
              <w:t xml:space="preserve">, </w:t>
            </w: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D.U3</w:t>
            </w:r>
            <w:r w:rsidRPr="002D21A6">
              <w:rPr>
                <w:rFonts w:cs="Times New Roman"/>
                <w:sz w:val="22"/>
                <w:szCs w:val="22"/>
              </w:rPr>
              <w:t xml:space="preserve">, </w:t>
            </w: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D.U8</w:t>
            </w:r>
            <w:r w:rsidRPr="002D21A6">
              <w:rPr>
                <w:rFonts w:cs="Times New Roman"/>
                <w:sz w:val="22"/>
                <w:szCs w:val="22"/>
              </w:rPr>
              <w:t xml:space="preserve">, </w:t>
            </w: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D.U12</w:t>
            </w:r>
            <w:r w:rsidRPr="002D21A6">
              <w:rPr>
                <w:rFonts w:cs="Times New Roman"/>
                <w:sz w:val="22"/>
                <w:szCs w:val="22"/>
              </w:rPr>
              <w:t xml:space="preserve">, </w:t>
            </w:r>
            <w:r w:rsidRPr="002D21A6">
              <w:rPr>
                <w:rFonts w:cs="Times New Roman"/>
                <w:color w:val="000000"/>
                <w:sz w:val="22"/>
                <w:szCs w:val="22"/>
              </w:rPr>
              <w:t>D.U.28</w:t>
            </w:r>
            <w:r w:rsidRPr="002D21A6">
              <w:rPr>
                <w:rFonts w:cs="Times New Roman"/>
                <w:sz w:val="22"/>
                <w:szCs w:val="22"/>
              </w:rPr>
              <w:t xml:space="preserve">, </w:t>
            </w:r>
            <w:r w:rsidRPr="002D21A6">
              <w:rPr>
                <w:rFonts w:cs="Times New Roman"/>
                <w:color w:val="000000"/>
                <w:sz w:val="22"/>
                <w:szCs w:val="22"/>
              </w:rPr>
              <w:t>D.U.39</w:t>
            </w:r>
            <w:r w:rsidRPr="002D21A6">
              <w:rPr>
                <w:rFonts w:cs="Times New Roman"/>
                <w:sz w:val="22"/>
                <w:szCs w:val="22"/>
              </w:rPr>
              <w:t xml:space="preserve">, </w:t>
            </w: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D.U44, D.U47</w:t>
            </w:r>
          </w:p>
          <w:p w:rsidR="00301F0D" w:rsidRPr="002D21A6" w:rsidRDefault="00301F0D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w zakresie kompetencji społecznych student jest gotów do: OK_K04 ,OK_K05, OK_K06, OK_K08</w:t>
            </w:r>
          </w:p>
        </w:tc>
      </w:tr>
      <w:tr w:rsidR="00637D3F" w:rsidRPr="002D21A6" w:rsidTr="00301F0D"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D3F" w:rsidRPr="002D21A6" w:rsidRDefault="00AE2F58" w:rsidP="00637D3F">
            <w:pPr>
              <w:pStyle w:val="Akapitzlist"/>
              <w:spacing w:line="100" w:lineRule="atLeast"/>
              <w:ind w:left="0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color w:val="000000" w:themeColor="text1"/>
                <w:sz w:val="22"/>
                <w:szCs w:val="22"/>
              </w:rPr>
              <w:t>9.Liczba godzin z przedmiotu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37D3F" w:rsidRPr="002D21A6" w:rsidRDefault="00723974" w:rsidP="00AE2F58">
            <w:pPr>
              <w:pStyle w:val="Akapitzlist"/>
              <w:ind w:left="0"/>
              <w:jc w:val="center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D3F" w:rsidRPr="002D21A6" w:rsidRDefault="00AE2F58" w:rsidP="001018DD">
            <w:pPr>
              <w:pStyle w:val="Akapitzlist"/>
              <w:spacing w:line="100" w:lineRule="atLeast"/>
              <w:ind w:left="0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color w:val="000000" w:themeColor="text1"/>
                <w:sz w:val="22"/>
                <w:szCs w:val="22"/>
              </w:rPr>
              <w:t>10.Liczba punktów ECTS dla przedmiotu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37D3F" w:rsidRPr="002D21A6" w:rsidRDefault="00AE2F58" w:rsidP="00AE2F58">
            <w:pPr>
              <w:pStyle w:val="Akapitzlist"/>
              <w:spacing w:line="100" w:lineRule="atLeast"/>
              <w:ind w:left="0"/>
              <w:jc w:val="center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color w:val="000000" w:themeColor="text1"/>
                <w:sz w:val="22"/>
                <w:szCs w:val="22"/>
              </w:rPr>
              <w:t>3</w:t>
            </w:r>
          </w:p>
        </w:tc>
      </w:tr>
      <w:tr w:rsidR="008E3729" w:rsidRPr="002D21A6" w:rsidTr="00301F0D">
        <w:tc>
          <w:tcPr>
            <w:tcW w:w="9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E3729" w:rsidRPr="002D21A6" w:rsidRDefault="008E3729" w:rsidP="00FA53D9">
            <w:pPr>
              <w:pStyle w:val="Akapitzlist"/>
              <w:spacing w:line="100" w:lineRule="atLeast"/>
              <w:ind w:left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color w:val="000000" w:themeColor="text1"/>
                <w:sz w:val="22"/>
                <w:szCs w:val="22"/>
              </w:rPr>
              <w:t xml:space="preserve">11.  </w:t>
            </w:r>
            <w:r w:rsidR="001018DD" w:rsidRPr="002D21A6">
              <w:rPr>
                <w:rFonts w:cs="Times New Roman"/>
                <w:b/>
                <w:sz w:val="22"/>
                <w:szCs w:val="22"/>
              </w:rPr>
              <w:t xml:space="preserve">Forma zaliczenia przedmiotu: </w:t>
            </w:r>
            <w:r w:rsidR="001018DD" w:rsidRPr="002D21A6">
              <w:rPr>
                <w:rFonts w:cs="Times New Roman"/>
                <w:sz w:val="22"/>
                <w:szCs w:val="22"/>
              </w:rPr>
              <w:t>egzamin</w:t>
            </w:r>
            <w:r w:rsidR="00B30BBF" w:rsidRPr="002D21A6">
              <w:rPr>
                <w:rFonts w:cs="Times New Roman"/>
                <w:sz w:val="22"/>
                <w:szCs w:val="22"/>
              </w:rPr>
              <w:t xml:space="preserve"> zintegrowany</w:t>
            </w:r>
          </w:p>
        </w:tc>
      </w:tr>
      <w:tr w:rsidR="001018DD" w:rsidRPr="002D21A6" w:rsidTr="00301F0D">
        <w:tc>
          <w:tcPr>
            <w:tcW w:w="9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018DD" w:rsidRPr="002D21A6" w:rsidRDefault="001018DD" w:rsidP="000919A0">
            <w:pPr>
              <w:pStyle w:val="Akapitzlist"/>
              <w:spacing w:line="100" w:lineRule="atLeast"/>
              <w:ind w:left="0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sz w:val="22"/>
                <w:szCs w:val="22"/>
              </w:rPr>
              <w:t xml:space="preserve">12. Sposoby weryfikacji i oceny efektów uczenia się  </w:t>
            </w:r>
          </w:p>
        </w:tc>
      </w:tr>
      <w:tr w:rsidR="008E3729" w:rsidRPr="002D21A6" w:rsidTr="00301F0D"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729" w:rsidRPr="002D21A6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729" w:rsidRPr="002D21A6" w:rsidRDefault="008E3729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3729" w:rsidRPr="002D21A6" w:rsidRDefault="008E3729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Sposoby oceny*</w:t>
            </w:r>
          </w:p>
        </w:tc>
      </w:tr>
      <w:tr w:rsidR="008E3729" w:rsidRPr="002D21A6" w:rsidTr="00301F0D"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729" w:rsidRPr="002D21A6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729" w:rsidRPr="002D21A6" w:rsidRDefault="008E3729" w:rsidP="000919A0">
            <w:pPr>
              <w:widowControl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Test pisemny- jednokrotnego wyboru</w:t>
            </w:r>
          </w:p>
          <w:p w:rsidR="008E3729" w:rsidRPr="002D21A6" w:rsidRDefault="008E3729" w:rsidP="000919A0">
            <w:pPr>
              <w:spacing w:line="100" w:lineRule="atLeast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Analiza i dyskusja  w oparciu o EBM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3729" w:rsidRPr="002D21A6" w:rsidRDefault="008E3729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8E3729" w:rsidRPr="002D21A6" w:rsidTr="00301F0D"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729" w:rsidRPr="002D21A6" w:rsidRDefault="008E3729" w:rsidP="000919A0">
            <w:pPr>
              <w:spacing w:line="100" w:lineRule="atLeast"/>
              <w:ind w:left="5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729" w:rsidRPr="002D21A6" w:rsidRDefault="008E3729" w:rsidP="000919A0">
            <w:pPr>
              <w:widowControl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Realizacja zleconego zadania</w:t>
            </w:r>
            <w:r w:rsidR="007E038B" w:rsidRPr="002D21A6">
              <w:rPr>
                <w:rFonts w:cs="Times New Roman"/>
                <w:color w:val="000000" w:themeColor="text1"/>
                <w:sz w:val="22"/>
                <w:szCs w:val="22"/>
              </w:rPr>
              <w:t>,</w:t>
            </w:r>
          </w:p>
          <w:p w:rsidR="008E3729" w:rsidRPr="002D21A6" w:rsidRDefault="008E3729" w:rsidP="000919A0">
            <w:pPr>
              <w:spacing w:line="100" w:lineRule="atLeast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dyskusja  w oparciu o EBM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3729" w:rsidRPr="002D21A6" w:rsidRDefault="008E3729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8E3729" w:rsidRPr="002D21A6" w:rsidTr="00301F0D"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729" w:rsidRPr="002D21A6" w:rsidRDefault="008E3729" w:rsidP="000919A0">
            <w:pPr>
              <w:spacing w:line="100" w:lineRule="atLeast"/>
              <w:ind w:left="5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729" w:rsidRPr="002D21A6" w:rsidRDefault="00301F0D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color w:val="000000" w:themeColor="text1"/>
                <w:sz w:val="22"/>
                <w:szCs w:val="22"/>
              </w:rPr>
              <w:t>O</w:t>
            </w:r>
            <w:r w:rsidR="008E3729" w:rsidRPr="002D21A6">
              <w:rPr>
                <w:rFonts w:cs="Times New Roman"/>
                <w:color w:val="000000" w:themeColor="text1"/>
                <w:sz w:val="22"/>
                <w:szCs w:val="22"/>
              </w:rPr>
              <w:t>bserwacja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3729" w:rsidRPr="002D21A6" w:rsidRDefault="008E3729" w:rsidP="000919A0">
            <w:pPr>
              <w:spacing w:line="100" w:lineRule="atLeast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2D21A6">
              <w:rPr>
                <w:rFonts w:cs="Times New Roman"/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</w:tbl>
    <w:p w:rsidR="002D21A6" w:rsidRDefault="002D21A6" w:rsidP="008E3729">
      <w:pPr>
        <w:rPr>
          <w:rFonts w:cs="Times New Roman"/>
          <w:b/>
          <w:color w:val="000000" w:themeColor="text1"/>
          <w:sz w:val="22"/>
          <w:szCs w:val="22"/>
        </w:rPr>
      </w:pPr>
    </w:p>
    <w:p w:rsidR="002D21A6" w:rsidRDefault="002D21A6" w:rsidP="002D21A6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  <w:bookmarkStart w:id="0" w:name="_Hlk166759331"/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2D21A6" w:rsidRPr="00F11F8C" w:rsidRDefault="002D21A6" w:rsidP="002D21A6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</w:p>
    <w:p w:rsidR="002D21A6" w:rsidRPr="00F11F8C" w:rsidRDefault="002D21A6" w:rsidP="002D21A6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2D21A6" w:rsidRPr="00F11F8C" w:rsidRDefault="002D21A6" w:rsidP="002D21A6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2D21A6" w:rsidRPr="00F11F8C" w:rsidRDefault="002D21A6" w:rsidP="002D21A6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2D21A6" w:rsidRPr="00F11F8C" w:rsidRDefault="002D21A6" w:rsidP="002D21A6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2D21A6" w:rsidRPr="00F11F8C" w:rsidRDefault="002D21A6" w:rsidP="002D21A6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2D21A6" w:rsidRPr="001D4FA2" w:rsidRDefault="002D21A6" w:rsidP="002D21A6">
      <w:pPr>
        <w:spacing w:after="306" w:line="259" w:lineRule="auto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bookmarkEnd w:id="0"/>
    <w:p w:rsidR="006931F7" w:rsidRPr="002D21A6" w:rsidRDefault="006931F7" w:rsidP="008E3729">
      <w:pPr>
        <w:rPr>
          <w:rFonts w:cs="Times New Roman"/>
          <w:color w:val="000000" w:themeColor="text1"/>
          <w:sz w:val="22"/>
          <w:szCs w:val="22"/>
        </w:rPr>
      </w:pPr>
    </w:p>
    <w:p w:rsidR="006931F7" w:rsidRPr="002D21A6" w:rsidRDefault="006931F7" w:rsidP="008E3729">
      <w:pPr>
        <w:rPr>
          <w:rFonts w:cs="Times New Roman"/>
          <w:color w:val="000000" w:themeColor="text1"/>
          <w:sz w:val="22"/>
          <w:szCs w:val="22"/>
        </w:rPr>
      </w:pPr>
    </w:p>
    <w:p w:rsidR="006931F7" w:rsidRPr="002D21A6" w:rsidRDefault="006931F7" w:rsidP="008E3729">
      <w:pPr>
        <w:rPr>
          <w:rFonts w:cs="Times New Roman"/>
          <w:color w:val="000000" w:themeColor="text1"/>
          <w:sz w:val="22"/>
          <w:szCs w:val="22"/>
        </w:rPr>
      </w:pPr>
    </w:p>
    <w:p w:rsidR="006931F7" w:rsidRPr="002D21A6" w:rsidRDefault="006931F7" w:rsidP="008E3729">
      <w:pPr>
        <w:rPr>
          <w:rFonts w:cs="Times New Roman"/>
          <w:color w:val="000000" w:themeColor="text1"/>
          <w:sz w:val="22"/>
          <w:szCs w:val="22"/>
        </w:rPr>
      </w:pPr>
    </w:p>
    <w:p w:rsidR="006931F7" w:rsidRPr="002D21A6" w:rsidRDefault="006931F7" w:rsidP="008E3729">
      <w:pPr>
        <w:rPr>
          <w:rFonts w:cs="Times New Roman"/>
          <w:color w:val="000000" w:themeColor="text1"/>
          <w:sz w:val="22"/>
          <w:szCs w:val="22"/>
        </w:rPr>
      </w:pPr>
    </w:p>
    <w:p w:rsidR="006931F7" w:rsidRPr="002D21A6" w:rsidRDefault="006931F7" w:rsidP="008E3729">
      <w:pPr>
        <w:rPr>
          <w:rFonts w:cs="Times New Roman"/>
          <w:color w:val="000000" w:themeColor="text1"/>
          <w:sz w:val="22"/>
          <w:szCs w:val="22"/>
        </w:rPr>
      </w:pPr>
    </w:p>
    <w:p w:rsidR="006931F7" w:rsidRPr="002D21A6" w:rsidRDefault="006931F7" w:rsidP="008E3729">
      <w:pPr>
        <w:rPr>
          <w:rFonts w:cs="Times New Roman"/>
          <w:color w:val="000000" w:themeColor="text1"/>
          <w:sz w:val="22"/>
          <w:szCs w:val="22"/>
        </w:rPr>
      </w:pPr>
    </w:p>
    <w:p w:rsidR="00293AAE" w:rsidRPr="006931F7" w:rsidRDefault="00293AAE" w:rsidP="00293AAE">
      <w:pPr>
        <w:widowControl/>
        <w:suppressAutoHyphens w:val="0"/>
        <w:spacing w:after="160" w:line="259" w:lineRule="auto"/>
        <w:jc w:val="center"/>
        <w:rPr>
          <w:rFonts w:eastAsia="Calibri" w:cs="Times New Roman"/>
          <w:b/>
          <w:color w:val="000000"/>
          <w:kern w:val="0"/>
          <w:sz w:val="28"/>
          <w:szCs w:val="22"/>
          <w:lang w:eastAsia="en-US" w:bidi="ar-SA"/>
        </w:rPr>
      </w:pPr>
      <w:r w:rsidRPr="006931F7">
        <w:rPr>
          <w:rFonts w:eastAsia="Calibri" w:cs="Times New Roman"/>
          <w:b/>
          <w:color w:val="000000"/>
          <w:kern w:val="0"/>
          <w:sz w:val="28"/>
          <w:szCs w:val="22"/>
          <w:lang w:eastAsia="en-US" w:bidi="ar-SA"/>
        </w:rPr>
        <w:lastRenderedPageBreak/>
        <w:t>Karta przedmiotu</w:t>
      </w:r>
    </w:p>
    <w:p w:rsidR="00293AAE" w:rsidRPr="006931F7" w:rsidRDefault="00293AAE" w:rsidP="00293AAE">
      <w:pPr>
        <w:widowControl/>
        <w:suppressAutoHyphens w:val="0"/>
        <w:spacing w:after="160" w:line="259" w:lineRule="auto"/>
        <w:jc w:val="center"/>
        <w:rPr>
          <w:rFonts w:eastAsia="Calibri" w:cs="Times New Roman"/>
          <w:b/>
          <w:color w:val="000000"/>
          <w:kern w:val="0"/>
          <w:sz w:val="28"/>
          <w:szCs w:val="22"/>
          <w:lang w:eastAsia="en-US" w:bidi="ar-SA"/>
        </w:rPr>
      </w:pPr>
      <w:r w:rsidRPr="006931F7">
        <w:rPr>
          <w:rFonts w:eastAsia="Calibri" w:cs="Times New Roman"/>
          <w:b/>
          <w:color w:val="000000"/>
          <w:kern w:val="0"/>
          <w:sz w:val="28"/>
          <w:szCs w:val="22"/>
          <w:lang w:eastAsia="en-US" w:bidi="ar-SA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293AAE" w:rsidRPr="006931F7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293AAE" w:rsidRPr="006931F7" w:rsidRDefault="00293AAE" w:rsidP="00D65F10">
            <w:pPr>
              <w:widowControl/>
              <w:suppressAutoHyphens w:val="0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Inne przydatne informacje o przedmiocie</w:t>
            </w:r>
          </w:p>
        </w:tc>
      </w:tr>
      <w:tr w:rsidR="00293AAE" w:rsidRPr="006931F7" w:rsidTr="00D65F10">
        <w:tc>
          <w:tcPr>
            <w:tcW w:w="9748" w:type="dxa"/>
            <w:gridSpan w:val="5"/>
            <w:shd w:val="clear" w:color="auto" w:fill="auto"/>
          </w:tcPr>
          <w:p w:rsidR="00293AAE" w:rsidRPr="006931F7" w:rsidRDefault="00293AAE" w:rsidP="00D65F10">
            <w:pPr>
              <w:widowControl/>
              <w:suppressAutoHyphens w:val="0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13. Jednostka realizująca przedmiot,</w:t>
            </w: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adres, e-mail:</w:t>
            </w:r>
          </w:p>
          <w:p w:rsidR="00293AAE" w:rsidRPr="006931F7" w:rsidRDefault="00293AAE" w:rsidP="00D65F10">
            <w:pPr>
              <w:widowControl/>
              <w:suppressAutoHyphens w:val="0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Zakład Fizjoterapii Katedry Fizjoterapii, Katowice, ul. Medyków 12</w:t>
            </w:r>
          </w:p>
          <w:p w:rsidR="00293AAE" w:rsidRPr="00723974" w:rsidRDefault="00293AAE" w:rsidP="00D65F10">
            <w:pPr>
              <w:widowControl/>
              <w:suppressAutoHyphens w:val="0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23974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e-mail: fizjoterapia@sum.edu.pl</w:t>
            </w:r>
          </w:p>
        </w:tc>
      </w:tr>
      <w:tr w:rsidR="00293AAE" w:rsidRPr="006931F7" w:rsidTr="00D65F10">
        <w:tc>
          <w:tcPr>
            <w:tcW w:w="9748" w:type="dxa"/>
            <w:gridSpan w:val="5"/>
            <w:shd w:val="clear" w:color="auto" w:fill="auto"/>
          </w:tcPr>
          <w:p w:rsidR="00293AAE" w:rsidRDefault="00293AAE" w:rsidP="00D65F10">
            <w:pPr>
              <w:widowControl/>
              <w:suppressAutoHyphens w:val="0"/>
              <w:contextualSpacing/>
              <w:rPr>
                <w:rFonts w:eastAsia="Calibri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14. Imię i nazwisko osoby odpowiedzialnej za realizację prze</w:t>
            </w:r>
            <w:r>
              <w:rPr>
                <w:rFonts w:eastAsia="Calibri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dmiotu /koordynatora przedmiotu</w:t>
            </w:r>
          </w:p>
          <w:p w:rsidR="00293AAE" w:rsidRPr="00967028" w:rsidRDefault="00293AAE" w:rsidP="00D65F10">
            <w:pPr>
              <w:widowControl/>
              <w:suppressAutoHyphens w:val="0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dr</w:t>
            </w: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Katarzyna</w:t>
            </w:r>
            <w:proofErr w:type="spellEnd"/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Kniaziew</w:t>
            </w:r>
            <w:proofErr w:type="spellEnd"/>
          </w:p>
        </w:tc>
      </w:tr>
      <w:tr w:rsidR="00293AAE" w:rsidRPr="006931F7" w:rsidTr="00D65F10">
        <w:tc>
          <w:tcPr>
            <w:tcW w:w="9748" w:type="dxa"/>
            <w:gridSpan w:val="5"/>
            <w:shd w:val="clear" w:color="auto" w:fill="auto"/>
          </w:tcPr>
          <w:p w:rsidR="00293AAE" w:rsidRPr="006931F7" w:rsidRDefault="00293AAE" w:rsidP="00D65F10">
            <w:pPr>
              <w:widowControl/>
              <w:suppressAutoHyphens w:val="0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15. Wymagania wstępne w zakresie wiedzy, umiejętności i innych kompetencji:</w:t>
            </w:r>
          </w:p>
          <w:p w:rsidR="00293AAE" w:rsidRPr="006931F7" w:rsidRDefault="00293AAE" w:rsidP="00D65F10">
            <w:pPr>
              <w:widowControl/>
              <w:suppressAutoHyphens w:val="0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podstawy anatomii i anatomii funkcjonalnej, fizjologii ogólnej, patofizjologii i biomechaniki; wiedza </w:t>
            </w:r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br/>
            </w: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i umiejętności z zakresu klinicznych podstaw fizjoterapii w ortopedii i traumatologii i medycynie sportowej, neurologii i neurochirurgii, reumatologii oraz fizjoterapii klinicznej w dysfunkcjach układu ruchu</w:t>
            </w:r>
          </w:p>
        </w:tc>
      </w:tr>
      <w:tr w:rsidR="00293AAE" w:rsidRPr="006931F7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293AAE" w:rsidRPr="006931F7" w:rsidRDefault="00293AAE" w:rsidP="00D65F10">
            <w:pPr>
              <w:widowControl/>
              <w:suppressAutoHyphens w:val="0"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Zgodna z Zarządzeniem Rektora SUM</w:t>
            </w:r>
          </w:p>
        </w:tc>
      </w:tr>
      <w:tr w:rsidR="00293AAE" w:rsidRPr="006931F7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293AAE" w:rsidRPr="006931F7" w:rsidRDefault="00293AAE" w:rsidP="00D65F10">
            <w:pPr>
              <w:widowControl/>
              <w:suppressAutoHyphens w:val="0"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Atlasy anatomiczne, podręczniki podane w literaturze - pkt 21; goniometr, miarka centymetrowa, pion, młoteczek do badania neurologicznego</w:t>
            </w:r>
          </w:p>
        </w:tc>
      </w:tr>
      <w:tr w:rsidR="00293AAE" w:rsidRPr="006931F7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293AAE" w:rsidRPr="006931F7" w:rsidRDefault="00293AAE" w:rsidP="00D65F10">
            <w:pPr>
              <w:widowControl/>
              <w:suppressAutoHyphens w:val="0"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Zgodnie z harmonogramem</w:t>
            </w:r>
          </w:p>
        </w:tc>
      </w:tr>
      <w:tr w:rsidR="00293AAE" w:rsidRPr="006931F7" w:rsidTr="00D65F1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93AAE" w:rsidRPr="006931F7" w:rsidRDefault="00293AAE" w:rsidP="00D65F10">
            <w:pPr>
              <w:widowControl/>
              <w:suppressAutoHyphens w:val="0"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Zgodnie z harmonogramem pracy Zakładu Fizjoterapii</w:t>
            </w:r>
          </w:p>
        </w:tc>
      </w:tr>
      <w:tr w:rsidR="00293AAE" w:rsidRPr="006931F7" w:rsidTr="00D65F10">
        <w:tc>
          <w:tcPr>
            <w:tcW w:w="9748" w:type="dxa"/>
            <w:gridSpan w:val="5"/>
            <w:shd w:val="clear" w:color="auto" w:fill="D9D9D9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20. Efekty uczenia się</w:t>
            </w:r>
          </w:p>
        </w:tc>
      </w:tr>
      <w:tr w:rsidR="00293AAE" w:rsidRPr="006931F7" w:rsidTr="00D65F10">
        <w:tc>
          <w:tcPr>
            <w:tcW w:w="1778" w:type="dxa"/>
            <w:shd w:val="clear" w:color="auto" w:fill="auto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spacing w:line="259" w:lineRule="auto"/>
              <w:jc w:val="center"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spacing w:line="259" w:lineRule="auto"/>
              <w:jc w:val="center"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jc w:val="center"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Odniesienie do efektów uczenia się zawartych w </w:t>
            </w:r>
            <w:r w:rsidRPr="006931F7">
              <w:rPr>
                <w:rFonts w:eastAsia="Calibri" w:cs="Times New Roman"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(właściwe podkreślić)</w:t>
            </w: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: </w:t>
            </w:r>
            <w:bookmarkStart w:id="1" w:name="_GoBack"/>
            <w:r w:rsidRPr="00293AAE">
              <w:rPr>
                <w:rFonts w:eastAsia="Calibri" w:cs="Times New Roman"/>
                <w:color w:val="000000"/>
                <w:kern w:val="0"/>
                <w:sz w:val="22"/>
                <w:szCs w:val="22"/>
                <w:u w:val="single"/>
                <w:lang w:eastAsia="en-US" w:bidi="ar-SA"/>
              </w:rPr>
              <w:t>standardach kształcenia</w:t>
            </w:r>
            <w:bookmarkEnd w:id="1"/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/ </w:t>
            </w:r>
            <w:r w:rsidRPr="00293AAE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zatwierdzonych przez Senat SUM</w:t>
            </w:r>
            <w:r w:rsidRPr="00723974">
              <w:rPr>
                <w:rFonts w:eastAsia="Calibri" w:cs="Times New Roman"/>
                <w:color w:val="000000"/>
                <w:kern w:val="0"/>
                <w:sz w:val="22"/>
                <w:szCs w:val="22"/>
                <w:u w:val="single"/>
                <w:lang w:eastAsia="en-US" w:bidi="ar-SA"/>
              </w:rPr>
              <w:t xml:space="preserve"> </w:t>
            </w:r>
          </w:p>
        </w:tc>
      </w:tr>
      <w:tr w:rsidR="00293AAE" w:rsidRPr="006931F7" w:rsidTr="00D65F10">
        <w:tc>
          <w:tcPr>
            <w:tcW w:w="1778" w:type="dxa"/>
            <w:shd w:val="clear" w:color="auto" w:fill="auto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AAE" w:rsidRPr="006931F7" w:rsidRDefault="00293AAE" w:rsidP="00D65F10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6931F7">
              <w:rPr>
                <w:rFonts w:cs="Times New Roman"/>
                <w:bCs/>
                <w:color w:val="000000"/>
                <w:sz w:val="22"/>
                <w:szCs w:val="22"/>
              </w:rPr>
              <w:t xml:space="preserve">Student zna </w:t>
            </w:r>
            <w:r w:rsidRPr="006931F7">
              <w:rPr>
                <w:rFonts w:cs="Times New Roman"/>
                <w:color w:val="000000"/>
                <w:sz w:val="22"/>
                <w:szCs w:val="22"/>
              </w:rPr>
              <w:t>zasady diagnozowania najczęstszych dysfunkcji układu ruchu w stopniu umożliwiającym racjonalne stosowanie środków fizjoterapii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AAE" w:rsidRPr="006931F7" w:rsidRDefault="00293AAE" w:rsidP="00D65F1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931F7">
              <w:rPr>
                <w:rFonts w:cs="Times New Roman"/>
                <w:color w:val="000000"/>
                <w:sz w:val="22"/>
                <w:szCs w:val="22"/>
              </w:rPr>
              <w:t>D.W2</w:t>
            </w:r>
          </w:p>
        </w:tc>
      </w:tr>
      <w:tr w:rsidR="00293AAE" w:rsidRPr="006931F7" w:rsidTr="00D65F10">
        <w:tc>
          <w:tcPr>
            <w:tcW w:w="1778" w:type="dxa"/>
            <w:shd w:val="clear" w:color="auto" w:fill="auto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AAE" w:rsidRPr="006931F7" w:rsidRDefault="00293AAE" w:rsidP="00D65F10">
            <w:pPr>
              <w:snapToGri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6931F7">
              <w:rPr>
                <w:rFonts w:cs="Times New Roman"/>
                <w:bCs/>
                <w:color w:val="000000"/>
                <w:sz w:val="22"/>
                <w:szCs w:val="22"/>
              </w:rPr>
              <w:t xml:space="preserve">Student zna </w:t>
            </w:r>
            <w:r w:rsidRPr="006931F7">
              <w:rPr>
                <w:rFonts w:cs="Times New Roman"/>
                <w:color w:val="000000"/>
                <w:sz w:val="22"/>
                <w:szCs w:val="22"/>
              </w:rPr>
              <w:t>ogólne zasady  przeprowadzania wywiadu , w tym podmiotowego i przedmiotowego badania pacjenta z dysfunkcjami układu ruchu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AAE" w:rsidRPr="006931F7" w:rsidRDefault="00293AAE" w:rsidP="00D65F1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931F7">
              <w:rPr>
                <w:rFonts w:cs="Times New Roman"/>
                <w:color w:val="000000"/>
                <w:sz w:val="22"/>
                <w:szCs w:val="22"/>
              </w:rPr>
              <w:t>D.W6</w:t>
            </w:r>
          </w:p>
        </w:tc>
      </w:tr>
      <w:tr w:rsidR="00293AAE" w:rsidRPr="006931F7" w:rsidTr="00D65F10">
        <w:tc>
          <w:tcPr>
            <w:tcW w:w="1778" w:type="dxa"/>
            <w:shd w:val="clear" w:color="auto" w:fill="auto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AAE" w:rsidRPr="006931F7" w:rsidRDefault="00293AAE" w:rsidP="00D65F10">
            <w:pPr>
              <w:snapToGri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6931F7">
              <w:rPr>
                <w:rFonts w:cs="Times New Roman"/>
                <w:bCs/>
                <w:color w:val="000000"/>
                <w:sz w:val="22"/>
                <w:szCs w:val="22"/>
              </w:rPr>
              <w:t xml:space="preserve">Student zna </w:t>
            </w:r>
            <w:r w:rsidRPr="006931F7">
              <w:rPr>
                <w:rFonts w:cs="Times New Roman"/>
                <w:color w:val="000000"/>
                <w:sz w:val="22"/>
                <w:szCs w:val="22"/>
              </w:rPr>
              <w:t xml:space="preserve">założenia i zasady Międzynarodowej Klasyfikacji Funkcjonowania, Niepełnosprawności i Zdrowia (International </w:t>
            </w:r>
            <w:proofErr w:type="spellStart"/>
            <w:r w:rsidRPr="006931F7">
              <w:rPr>
                <w:rFonts w:cs="Times New Roman"/>
                <w:color w:val="000000"/>
                <w:sz w:val="22"/>
                <w:szCs w:val="22"/>
              </w:rPr>
              <w:t>Classification</w:t>
            </w:r>
            <w:proofErr w:type="spellEnd"/>
            <w:r w:rsidRPr="006931F7">
              <w:rPr>
                <w:rFonts w:cs="Times New Roman"/>
                <w:color w:val="000000"/>
                <w:sz w:val="22"/>
                <w:szCs w:val="22"/>
              </w:rPr>
              <w:t xml:space="preserve"> of </w:t>
            </w:r>
            <w:proofErr w:type="spellStart"/>
            <w:r w:rsidRPr="006931F7">
              <w:rPr>
                <w:rFonts w:cs="Times New Roman"/>
                <w:color w:val="000000"/>
                <w:sz w:val="22"/>
                <w:szCs w:val="22"/>
              </w:rPr>
              <w:t>Functioning</w:t>
            </w:r>
            <w:proofErr w:type="spellEnd"/>
            <w:r w:rsidRPr="006931F7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931F7">
              <w:rPr>
                <w:rFonts w:cs="Times New Roman"/>
                <w:color w:val="000000"/>
                <w:sz w:val="22"/>
                <w:szCs w:val="22"/>
              </w:rPr>
              <w:t>Disability</w:t>
            </w:r>
            <w:proofErr w:type="spellEnd"/>
            <w:r w:rsidRPr="006931F7">
              <w:rPr>
                <w:rFonts w:cs="Times New Roman"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Pr="006931F7">
              <w:rPr>
                <w:rFonts w:cs="Times New Roman"/>
                <w:color w:val="000000"/>
                <w:sz w:val="22"/>
                <w:szCs w:val="22"/>
              </w:rPr>
              <w:t>Health</w:t>
            </w:r>
            <w:proofErr w:type="spellEnd"/>
            <w:r w:rsidRPr="006931F7">
              <w:rPr>
                <w:rFonts w:cs="Times New Roman"/>
                <w:color w:val="000000"/>
                <w:sz w:val="22"/>
                <w:szCs w:val="22"/>
              </w:rPr>
              <w:t>, ICF)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AAE" w:rsidRPr="006931F7" w:rsidRDefault="00293AAE" w:rsidP="00D65F1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931F7">
              <w:rPr>
                <w:rFonts w:cs="Times New Roman"/>
                <w:color w:val="000000"/>
                <w:sz w:val="22"/>
                <w:szCs w:val="22"/>
              </w:rPr>
              <w:t>D.W16</w:t>
            </w:r>
          </w:p>
        </w:tc>
      </w:tr>
      <w:tr w:rsidR="00293AAE" w:rsidRPr="006931F7" w:rsidTr="00D65F10">
        <w:tc>
          <w:tcPr>
            <w:tcW w:w="1778" w:type="dxa"/>
            <w:shd w:val="clear" w:color="auto" w:fill="auto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bCs/>
                <w:color w:val="000000"/>
                <w:sz w:val="22"/>
                <w:szCs w:val="22"/>
              </w:rPr>
              <w:t xml:space="preserve">Student umie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>przeprowadzić szczegółowe badanie dla potrzeb fizjoterapii i testy funkcjonalne układu ruchu, w tym dla głowy, szyi, tułowia oraz kończyn górnych i dolnych u pacjentów z dysfunkcjami układu ruchu oraz zapisać i zinterpretować jego wyniki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D.U1</w:t>
            </w:r>
          </w:p>
        </w:tc>
      </w:tr>
      <w:tr w:rsidR="00293AAE" w:rsidRPr="006931F7" w:rsidTr="00D65F10">
        <w:tc>
          <w:tcPr>
            <w:tcW w:w="1778" w:type="dxa"/>
            <w:shd w:val="clear" w:color="auto" w:fill="auto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P_U02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tabs>
                <w:tab w:val="left" w:pos="220"/>
                <w:tab w:val="left" w:pos="720"/>
              </w:tabs>
              <w:autoSpaceDE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Student umie  zanalizować proste i złożone ruchy człowieka pod kątem parametrów biomechanicznych z  uwzględnieniem warunków prawidłowych oraz dysfunkcji układu ruchu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D.U2</w:t>
            </w:r>
          </w:p>
        </w:tc>
      </w:tr>
      <w:tr w:rsidR="00293AAE" w:rsidRPr="006931F7" w:rsidTr="00D65F10">
        <w:tc>
          <w:tcPr>
            <w:tcW w:w="1778" w:type="dxa"/>
            <w:shd w:val="clear" w:color="auto" w:fill="auto"/>
            <w:vAlign w:val="center"/>
          </w:tcPr>
          <w:p w:rsidR="00293AAE" w:rsidRDefault="00293AAE" w:rsidP="00D65F10"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P_U03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tabs>
                <w:tab w:val="left" w:pos="220"/>
                <w:tab w:val="left" w:pos="720"/>
              </w:tabs>
              <w:autoSpaceDE w:val="0"/>
              <w:snapToGri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bCs/>
                <w:color w:val="000000"/>
                <w:sz w:val="22"/>
                <w:szCs w:val="22"/>
              </w:rPr>
              <w:t>Student potrafi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 ocenić stan układu ruchu człowieka  z uwzględnieniem  statyki i dynamiki (badanie ogólne, odcinkowe, miejscowe) oraz  zanalizować  chód  i zinterpretować uzyskane wyniki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D.U3</w:t>
            </w:r>
          </w:p>
        </w:tc>
      </w:tr>
      <w:tr w:rsidR="00293AAE" w:rsidRPr="006931F7" w:rsidTr="00D65F10">
        <w:tc>
          <w:tcPr>
            <w:tcW w:w="1778" w:type="dxa"/>
            <w:shd w:val="clear" w:color="auto" w:fill="auto"/>
            <w:vAlign w:val="center"/>
          </w:tcPr>
          <w:p w:rsidR="00293AAE" w:rsidRPr="0001436A" w:rsidRDefault="00293AAE" w:rsidP="00D65F10">
            <w:pPr>
              <w:rPr>
                <w:sz w:val="22"/>
                <w:szCs w:val="22"/>
              </w:rPr>
            </w:pPr>
            <w:r w:rsidRPr="000143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P_U04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tabs>
                <w:tab w:val="left" w:pos="4517"/>
              </w:tabs>
              <w:spacing w:line="240" w:lineRule="exact"/>
              <w:jc w:val="both"/>
              <w:rPr>
                <w:rFonts w:eastAsia="Times New Roman" w:cs="Times New Roman"/>
                <w:noProof/>
                <w:color w:val="000000"/>
                <w:sz w:val="20"/>
                <w:szCs w:val="20"/>
              </w:rPr>
            </w:pPr>
            <w:r w:rsidRPr="0001436A">
              <w:rPr>
                <w:rFonts w:cs="Times New Roman"/>
                <w:bCs/>
                <w:color w:val="000000"/>
                <w:sz w:val="22"/>
                <w:szCs w:val="22"/>
              </w:rPr>
              <w:t>Student potrafi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przeprowadzić całościową ocenę pacjenta i interpretować jej wyniki w różnych dysfunkcjach układu ruchu 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D.U8.;D.U12</w:t>
            </w:r>
          </w:p>
          <w:p w:rsidR="00293AAE" w:rsidRPr="0001436A" w:rsidRDefault="00293AAE" w:rsidP="00D65F10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D.U.28;D.U44</w:t>
            </w:r>
          </w:p>
        </w:tc>
      </w:tr>
      <w:tr w:rsidR="00293AAE" w:rsidRPr="006931F7" w:rsidTr="00D65F10">
        <w:tc>
          <w:tcPr>
            <w:tcW w:w="1778" w:type="dxa"/>
            <w:shd w:val="clear" w:color="auto" w:fill="auto"/>
            <w:vAlign w:val="center"/>
          </w:tcPr>
          <w:p w:rsidR="00293AAE" w:rsidRPr="0001436A" w:rsidRDefault="00293AAE" w:rsidP="00D65F10">
            <w:pPr>
              <w:rPr>
                <w:sz w:val="22"/>
                <w:szCs w:val="22"/>
              </w:rPr>
            </w:pPr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P_U05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AAE" w:rsidRPr="0001436A" w:rsidRDefault="00293AAE" w:rsidP="00D65F10">
            <w:pPr>
              <w:tabs>
                <w:tab w:val="left" w:pos="220"/>
                <w:tab w:val="left" w:pos="720"/>
              </w:tabs>
              <w:autoSpaceDE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bCs/>
                <w:color w:val="000000"/>
                <w:sz w:val="22"/>
                <w:szCs w:val="22"/>
              </w:rPr>
              <w:t>Student potrafi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stosować Międzynarodową Klasyfikację Funkcjonowania, Niepełnosprawności i Zdrowia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lastRenderedPageBreak/>
              <w:t xml:space="preserve">(International </w:t>
            </w:r>
            <w:proofErr w:type="spellStart"/>
            <w:r w:rsidRPr="0001436A">
              <w:rPr>
                <w:rFonts w:cs="Times New Roman"/>
                <w:color w:val="000000"/>
                <w:sz w:val="22"/>
                <w:szCs w:val="22"/>
              </w:rPr>
              <w:t>Classification</w:t>
            </w:r>
            <w:proofErr w:type="spellEnd"/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of </w:t>
            </w:r>
            <w:proofErr w:type="spellStart"/>
            <w:r w:rsidRPr="0001436A">
              <w:rPr>
                <w:rFonts w:cs="Times New Roman"/>
                <w:color w:val="000000"/>
                <w:sz w:val="22"/>
                <w:szCs w:val="22"/>
              </w:rPr>
              <w:t>Functioning</w:t>
            </w:r>
            <w:proofErr w:type="spellEnd"/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1436A">
              <w:rPr>
                <w:rFonts w:cs="Times New Roman"/>
                <w:color w:val="000000"/>
                <w:sz w:val="22"/>
                <w:szCs w:val="22"/>
              </w:rPr>
              <w:t>Disability</w:t>
            </w:r>
            <w:proofErr w:type="spellEnd"/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Pr="0001436A">
              <w:rPr>
                <w:rFonts w:cs="Times New Roman"/>
                <w:color w:val="000000"/>
                <w:sz w:val="22"/>
                <w:szCs w:val="22"/>
              </w:rPr>
              <w:t>Health</w:t>
            </w:r>
            <w:proofErr w:type="spellEnd"/>
            <w:r w:rsidRPr="0001436A">
              <w:rPr>
                <w:rFonts w:cs="Times New Roman"/>
                <w:color w:val="000000"/>
                <w:sz w:val="22"/>
                <w:szCs w:val="22"/>
              </w:rPr>
              <w:t>, ICF)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lastRenderedPageBreak/>
              <w:t>D.U39</w:t>
            </w:r>
          </w:p>
        </w:tc>
      </w:tr>
      <w:tr w:rsidR="00293AAE" w:rsidRPr="006931F7" w:rsidTr="00D65F10">
        <w:tc>
          <w:tcPr>
            <w:tcW w:w="1778" w:type="dxa"/>
            <w:shd w:val="clear" w:color="auto" w:fill="auto"/>
            <w:vAlign w:val="center"/>
          </w:tcPr>
          <w:p w:rsidR="00293AAE" w:rsidRPr="0001436A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P_U06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AAE" w:rsidRPr="0001436A" w:rsidRDefault="00293AAE" w:rsidP="00D65F10">
            <w:pPr>
              <w:tabs>
                <w:tab w:val="left" w:pos="220"/>
                <w:tab w:val="left" w:pos="720"/>
              </w:tabs>
              <w:autoSpaceDE w:val="0"/>
              <w:snapToGri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bCs/>
                <w:color w:val="000000"/>
                <w:sz w:val="22"/>
                <w:szCs w:val="22"/>
              </w:rPr>
              <w:t>Student potrafi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prawidłowo komunikować się  z pacjentem oraz  z innymi osobami wchodzącymi w  skład  zespołu  medycznego 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D.U47</w:t>
            </w:r>
          </w:p>
        </w:tc>
      </w:tr>
      <w:tr w:rsidR="00293AAE" w:rsidRPr="006931F7" w:rsidTr="00D65F10">
        <w:tc>
          <w:tcPr>
            <w:tcW w:w="1778" w:type="dxa"/>
            <w:shd w:val="clear" w:color="auto" w:fill="auto"/>
            <w:vAlign w:val="center"/>
          </w:tcPr>
          <w:p w:rsidR="00293AAE" w:rsidRPr="0001436A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P_K01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AAE" w:rsidRPr="0001436A" w:rsidRDefault="00293AAE" w:rsidP="00D65F10">
            <w:pPr>
              <w:tabs>
                <w:tab w:val="left" w:pos="220"/>
                <w:tab w:val="left" w:pos="720"/>
              </w:tabs>
              <w:autoSpaceDE w:val="0"/>
              <w:snapToGrid w:val="0"/>
              <w:jc w:val="both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bCs/>
                <w:color w:val="000000"/>
                <w:sz w:val="22"/>
                <w:szCs w:val="22"/>
              </w:rPr>
              <w:t xml:space="preserve">Student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>zna i stosuje zasady etyki zawodowej oraz przestrzega praw pacjenta.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 w:themeColor="text1"/>
                <w:sz w:val="22"/>
                <w:szCs w:val="22"/>
              </w:rPr>
              <w:t>OK_K04</w:t>
            </w:r>
          </w:p>
        </w:tc>
      </w:tr>
      <w:tr w:rsidR="00293AAE" w:rsidRPr="006931F7" w:rsidTr="00D65F10">
        <w:tc>
          <w:tcPr>
            <w:tcW w:w="1778" w:type="dxa"/>
            <w:shd w:val="clear" w:color="auto" w:fill="auto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P_K02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AAE" w:rsidRPr="0001436A" w:rsidRDefault="00293AAE" w:rsidP="00D65F10">
            <w:pPr>
              <w:tabs>
                <w:tab w:val="left" w:pos="220"/>
                <w:tab w:val="left" w:pos="720"/>
              </w:tabs>
              <w:autoSpaceDE w:val="0"/>
              <w:snapToGrid w:val="0"/>
              <w:jc w:val="both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bCs/>
                <w:color w:val="000000"/>
                <w:sz w:val="22"/>
                <w:szCs w:val="22"/>
              </w:rPr>
              <w:t xml:space="preserve">Student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dokonuje samooceny i jest świadomy swoich ograniczeń, stale podnosząc poziom wiedzy i umiejętności. 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 w:themeColor="text1"/>
                <w:sz w:val="22"/>
                <w:szCs w:val="22"/>
              </w:rPr>
              <w:t>OK_K05</w:t>
            </w:r>
          </w:p>
        </w:tc>
      </w:tr>
      <w:tr w:rsidR="00293AAE" w:rsidRPr="006931F7" w:rsidTr="00D65F10">
        <w:tc>
          <w:tcPr>
            <w:tcW w:w="1778" w:type="dxa"/>
            <w:shd w:val="clear" w:color="auto" w:fill="auto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P_K03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AAE" w:rsidRPr="0001436A" w:rsidRDefault="00293AAE" w:rsidP="00D65F10">
            <w:pPr>
              <w:tabs>
                <w:tab w:val="left" w:pos="220"/>
                <w:tab w:val="left" w:pos="720"/>
              </w:tabs>
              <w:autoSpaceDE w:val="0"/>
              <w:snapToGrid w:val="0"/>
              <w:jc w:val="both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bCs/>
                <w:sz w:val="22"/>
                <w:szCs w:val="22"/>
              </w:rPr>
              <w:t>Student</w:t>
            </w:r>
            <w:r w:rsidRPr="0001436A">
              <w:rPr>
                <w:rFonts w:cs="Times New Roman"/>
                <w:sz w:val="22"/>
                <w:szCs w:val="22"/>
              </w:rPr>
              <w:t xml:space="preserve"> jest świadomy konieczności korzystania z wiarygodnych źródeł informacji, w tym szacowania </w:t>
            </w:r>
            <w:proofErr w:type="spellStart"/>
            <w:r w:rsidRPr="0001436A">
              <w:rPr>
                <w:rFonts w:cs="Times New Roman"/>
                <w:i/>
                <w:iCs/>
                <w:sz w:val="22"/>
                <w:szCs w:val="22"/>
              </w:rPr>
              <w:t>fake</w:t>
            </w:r>
            <w:proofErr w:type="spellEnd"/>
            <w:r w:rsidRPr="0001436A">
              <w:rPr>
                <w:rFonts w:cs="Times New Roman"/>
                <w:i/>
                <w:iCs/>
                <w:sz w:val="22"/>
                <w:szCs w:val="22"/>
              </w:rPr>
              <w:t xml:space="preserve"> news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 w:themeColor="text1"/>
                <w:sz w:val="22"/>
                <w:szCs w:val="22"/>
              </w:rPr>
              <w:t>OK_K06</w:t>
            </w:r>
          </w:p>
        </w:tc>
      </w:tr>
      <w:tr w:rsidR="00293AAE" w:rsidRPr="006931F7" w:rsidTr="00D65F10">
        <w:tc>
          <w:tcPr>
            <w:tcW w:w="1778" w:type="dxa"/>
            <w:shd w:val="clear" w:color="auto" w:fill="auto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P_K04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AAE" w:rsidRPr="0001436A" w:rsidRDefault="00293AAE" w:rsidP="00D65F10">
            <w:pPr>
              <w:tabs>
                <w:tab w:val="left" w:pos="220"/>
                <w:tab w:val="left" w:pos="720"/>
              </w:tabs>
              <w:autoSpaceDE w:val="0"/>
              <w:snapToGrid w:val="0"/>
              <w:jc w:val="both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bCs/>
                <w:color w:val="000000"/>
                <w:sz w:val="22"/>
                <w:szCs w:val="22"/>
              </w:rPr>
              <w:t xml:space="preserve">Student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>poznaje różne aspekty pracy fizjoterapeuty i na tej postawie formułuje swoją opinię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 w:themeColor="text1"/>
                <w:sz w:val="22"/>
                <w:szCs w:val="22"/>
              </w:rPr>
              <w:t>OK_K08</w:t>
            </w:r>
          </w:p>
        </w:tc>
      </w:tr>
      <w:tr w:rsidR="00293AAE" w:rsidRPr="006931F7" w:rsidTr="00D65F10">
        <w:tc>
          <w:tcPr>
            <w:tcW w:w="8695" w:type="dxa"/>
            <w:gridSpan w:val="4"/>
            <w:shd w:val="clear" w:color="auto" w:fill="D9D9D9"/>
          </w:tcPr>
          <w:p w:rsidR="00293AAE" w:rsidRPr="006931F7" w:rsidRDefault="00293AAE" w:rsidP="00D65F10">
            <w:pPr>
              <w:widowControl/>
              <w:suppressAutoHyphens w:val="0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293AAE" w:rsidRPr="006931F7" w:rsidRDefault="00293AAE" w:rsidP="00D65F10">
            <w:pPr>
              <w:widowControl/>
              <w:suppressAutoHyphens w:val="0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Liczba godzin</w:t>
            </w:r>
          </w:p>
        </w:tc>
      </w:tr>
      <w:tr w:rsidR="00293AAE" w:rsidRPr="006931F7" w:rsidTr="00D65F10">
        <w:tc>
          <w:tcPr>
            <w:tcW w:w="8695" w:type="dxa"/>
            <w:gridSpan w:val="4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jc w:val="center"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24</w:t>
            </w:r>
          </w:p>
        </w:tc>
      </w:tr>
      <w:tr w:rsidR="00293AAE" w:rsidRPr="006931F7" w:rsidTr="00D65F1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jc w:val="both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Testy kliniczne i funkcjonalne w oparciu o ICF, kliniczne metody pomiarowe oraz techniki pomiarowe z użyciem specjalnej aparatury i ich rola.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>T</w:t>
            </w: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esty kliniczne i funkcjonalne, kliniczne metody pomiarowe, zna rolę  technik obrazowania (USG,RTG,TK,MR) i innych badań dodatkowych w ocenie dysfunkcji narządu ruchu i stanu chorego oraz zna sposoby  monitorowania skuteczności prowadzonej rehabilitacji.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snapToGri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6</w:t>
            </w:r>
          </w:p>
        </w:tc>
      </w:tr>
      <w:tr w:rsidR="00293AAE" w:rsidRPr="006931F7" w:rsidTr="00D65F10">
        <w:tc>
          <w:tcPr>
            <w:tcW w:w="869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jc w:val="both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Rola technik obrazowania (USG,TK,MR) i innych badań dodatkowych w ocenie dysfunkcji narządu ruchu i stanu chorego oraz monitorowania skuteczności prowadzonej rehabilitacji. </w:t>
            </w:r>
            <w:r w:rsidRPr="0001436A">
              <w:rPr>
                <w:rFonts w:cs="Times New Roman"/>
                <w:sz w:val="22"/>
                <w:szCs w:val="22"/>
              </w:rPr>
              <w:t>Skuteczność fizjoterapii w dysfunkcjach układu ruchu w badaniach naukowych na przykładzie prac naukowych.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snapToGri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6</w:t>
            </w:r>
          </w:p>
        </w:tc>
      </w:tr>
      <w:tr w:rsidR="00293AAE" w:rsidRPr="006931F7" w:rsidTr="00D65F1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jc w:val="both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Praktyczne wykorzystanie metod diagnostyki funkcjonalnej przy ustalaniu programów rehabilitacji w tym zaleceń do ćwiczeń w warunkach domowych.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snapToGri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6</w:t>
            </w:r>
          </w:p>
        </w:tc>
      </w:tr>
      <w:tr w:rsidR="00293AAE" w:rsidRPr="006931F7" w:rsidTr="00D65F1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jc w:val="both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Omówienie  błędów popełnianych  w trakcie przeprowadzania testów oraz błędy popełniane podczas interpretacji wyników.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Testy funkcjonalne u pacjentów z  dysfunkcjami układu ruchu  </w:t>
            </w: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br/>
              <w:t>w oparciu o ICF.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snapToGri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6</w:t>
            </w:r>
          </w:p>
        </w:tc>
      </w:tr>
      <w:tr w:rsidR="00293AAE" w:rsidRPr="006931F7" w:rsidTr="00D65F10">
        <w:tc>
          <w:tcPr>
            <w:tcW w:w="8695" w:type="dxa"/>
            <w:gridSpan w:val="4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21.2. </w:t>
            </w:r>
            <w:r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jc w:val="center"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26</w:t>
            </w:r>
          </w:p>
        </w:tc>
      </w:tr>
      <w:tr w:rsidR="00293AAE" w:rsidRPr="006931F7" w:rsidTr="00D65F1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Testy kliniczne i funkcjonalne dla głowy i szyi oraz  tułowia, ich charakterystyka, wykonanie oraz ich interpretacja, w oparciu o ICF . </w:t>
            </w:r>
          </w:p>
          <w:p w:rsidR="00293AAE" w:rsidRPr="0001436A" w:rsidRDefault="00293AAE" w:rsidP="00D65F10">
            <w:pPr>
              <w:jc w:val="both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Proste testy kliniczne znajdujące zastosowanie w kwalifikacji do fizjoterapii oraz ocenie jej skuteczności. Program rehabilitacji pacjenta, w tym zalecenia do domu.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snapToGri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8</w:t>
            </w:r>
          </w:p>
        </w:tc>
      </w:tr>
      <w:tr w:rsidR="00293AAE" w:rsidRPr="006931F7" w:rsidTr="00D65F10">
        <w:tc>
          <w:tcPr>
            <w:tcW w:w="869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jc w:val="both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Testy kliniczne i funkcjonalne dla kończyny górnej, ich charakterystyka, wykonanie oraz ich interpretacja w oparciu o ICF. Proste testy kliniczne znajdujące zastosowanie w kwalifikacji do fizjoterapii oraz ocenie jej skuteczności. Program rehabilitacji pacjenta, w tym zalecenia do domu.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snapToGri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6</w:t>
            </w:r>
          </w:p>
        </w:tc>
      </w:tr>
      <w:tr w:rsidR="00293AAE" w:rsidRPr="006931F7" w:rsidTr="00D65F10">
        <w:tc>
          <w:tcPr>
            <w:tcW w:w="869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Testy kliniczne i funkcjonalne dla kończyny dolnej, ich charakterystyka, wykonanie oraz ich interpretacja w oparciu o ICF. Proste testy kliniczne znajdujące zastosowanie w kwalifikacji do fizjoterapii oraz ocenie jej skuteczności. Program rehabilitacji pacjenta, w tym zalecenia do ćwiczeń w domu.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Analiza chodu w praktyce na podstawie tzw. wyznaczników chodu 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snapToGri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6</w:t>
            </w:r>
          </w:p>
        </w:tc>
      </w:tr>
      <w:tr w:rsidR="00293AAE" w:rsidRPr="006931F7" w:rsidTr="00D65F10">
        <w:tc>
          <w:tcPr>
            <w:tcW w:w="869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tabs>
                <w:tab w:val="left" w:pos="4517"/>
              </w:tabs>
              <w:spacing w:line="240" w:lineRule="exact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Globalna ocena pacjenta i interpretacja wyników w dysfunkcjach układu ruchu pochodzenia:</w:t>
            </w:r>
          </w:p>
          <w:p w:rsidR="00293AAE" w:rsidRPr="0001436A" w:rsidRDefault="00293AAE" w:rsidP="00293AAE">
            <w:pPr>
              <w:pStyle w:val="Akapitzlist"/>
              <w:numPr>
                <w:ilvl w:val="0"/>
                <w:numId w:val="7"/>
              </w:numPr>
              <w:tabs>
                <w:tab w:val="left" w:pos="4517"/>
              </w:tabs>
              <w:spacing w:line="240" w:lineRule="exact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i/>
                <w:color w:val="000000"/>
                <w:sz w:val="22"/>
                <w:szCs w:val="22"/>
              </w:rPr>
              <w:t>neurologicznego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(1. ośrodkowego np. ocena napięcia mięśniowego oraz funkcji ciała </w:t>
            </w:r>
          </w:p>
          <w:p w:rsidR="00293AAE" w:rsidRPr="0001436A" w:rsidRDefault="00293AAE" w:rsidP="00D65F10">
            <w:pPr>
              <w:pStyle w:val="Akapitzlist"/>
              <w:tabs>
                <w:tab w:val="left" w:pos="4517"/>
              </w:tabs>
              <w:spacing w:line="240" w:lineRule="exact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i aktywności; 2.obwodowego  m.in. objawów oponowych i korzeniowych w schorzeniach kręgosłupa szczególnie  w oparciu o wyniki badania obrazowego ;  oraz w uszkodzeniach  i chorobach gałęzi  nerwów obwodowych); </w:t>
            </w:r>
          </w:p>
          <w:p w:rsidR="00293AAE" w:rsidRPr="0001436A" w:rsidRDefault="00293AAE" w:rsidP="00293AAE">
            <w:pPr>
              <w:pStyle w:val="Akapitzlist"/>
              <w:numPr>
                <w:ilvl w:val="0"/>
                <w:numId w:val="8"/>
              </w:numPr>
              <w:tabs>
                <w:tab w:val="left" w:pos="4517"/>
              </w:tabs>
              <w:spacing w:line="240" w:lineRule="exact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i/>
                <w:color w:val="000000"/>
                <w:sz w:val="22"/>
                <w:szCs w:val="22"/>
              </w:rPr>
              <w:t>reumatoidalnego i chorób zapalnych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(badanie stawów, kości i mięśni z wykorzystaniem testów klinicznych;</w:t>
            </w:r>
            <w:r w:rsidRPr="0001436A">
              <w:rPr>
                <w:rFonts w:eastAsia="Times New Roman" w:cs="Times New Roman"/>
                <w:noProof/>
                <w:color w:val="000000"/>
                <w:sz w:val="22"/>
                <w:szCs w:val="22"/>
              </w:rPr>
              <w:t xml:space="preserve"> ocena stopnia uszkodzenia stawów i ich deformacji, funkcji ręki oraz lokomocji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>),</w:t>
            </w:r>
          </w:p>
          <w:p w:rsidR="00293AAE" w:rsidRPr="0001436A" w:rsidRDefault="00293AAE" w:rsidP="00293AAE">
            <w:pPr>
              <w:pStyle w:val="Akapitzlist"/>
              <w:numPr>
                <w:ilvl w:val="0"/>
                <w:numId w:val="8"/>
              </w:numPr>
              <w:tabs>
                <w:tab w:val="left" w:pos="4517"/>
              </w:tabs>
              <w:spacing w:line="240" w:lineRule="exact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i/>
                <w:color w:val="000000"/>
                <w:sz w:val="22"/>
                <w:szCs w:val="22"/>
              </w:rPr>
              <w:t>urazowego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(badanie stawów, kości i mięśni z wykorzystaniem testów klinicznych </w:t>
            </w:r>
          </w:p>
          <w:p w:rsidR="00293AAE" w:rsidRPr="0001436A" w:rsidRDefault="00293AAE" w:rsidP="00D65F10">
            <w:pPr>
              <w:pStyle w:val="Akapitzlist"/>
              <w:tabs>
                <w:tab w:val="left" w:pos="4517"/>
              </w:tabs>
              <w:spacing w:line="240" w:lineRule="exact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i funkcjonalnych);</w:t>
            </w:r>
          </w:p>
          <w:p w:rsidR="00293AAE" w:rsidRPr="0001436A" w:rsidRDefault="00293AAE" w:rsidP="00293AAE">
            <w:pPr>
              <w:pStyle w:val="Akapitzlist"/>
              <w:numPr>
                <w:ilvl w:val="0"/>
                <w:numId w:val="8"/>
              </w:num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i/>
                <w:color w:val="000000"/>
                <w:sz w:val="22"/>
                <w:szCs w:val="22"/>
              </w:rPr>
              <w:t>wieloukładowego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(potrafi wykonać próby podstawowe czynnościowe związane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br/>
              <w:t xml:space="preserve">z obciążaniem wysiłkiem, potrafi </w:t>
            </w:r>
            <w:r w:rsidRPr="0001436A">
              <w:rPr>
                <w:rFonts w:eastAsia="Times New Roman" w:cs="Times New Roman"/>
                <w:noProof/>
                <w:color w:val="000000"/>
                <w:spacing w:val="-1"/>
                <w:sz w:val="22"/>
                <w:szCs w:val="22"/>
              </w:rPr>
              <w:t>przeprowadzić</w:t>
            </w:r>
            <w:r w:rsidRPr="0001436A">
              <w:rPr>
                <w:rFonts w:eastAsia="Times New Roman" w:cs="Times New Roman"/>
                <w:noProof/>
                <w:color w:val="000000"/>
                <w:sz w:val="22"/>
                <w:szCs w:val="22"/>
              </w:rPr>
              <w:t xml:space="preserve"> </w:t>
            </w:r>
            <w:r w:rsidRPr="0001436A">
              <w:rPr>
                <w:rFonts w:eastAsia="Times New Roman" w:cs="Times New Roman"/>
                <w:noProof/>
                <w:color w:val="000000"/>
                <w:spacing w:val="-1"/>
                <w:sz w:val="22"/>
                <w:szCs w:val="22"/>
              </w:rPr>
              <w:t xml:space="preserve">całościową </w:t>
            </w:r>
            <w:r w:rsidRPr="0001436A">
              <w:rPr>
                <w:rFonts w:eastAsia="Times New Roman" w:cs="Times New Roman"/>
                <w:noProof/>
                <w:color w:val="000000"/>
                <w:sz w:val="22"/>
                <w:szCs w:val="22"/>
              </w:rPr>
              <w:t>ocenę</w:t>
            </w:r>
            <w:r w:rsidRPr="0001436A">
              <w:rPr>
                <w:rFonts w:eastAsia="Times New Roman" w:cs="Times New Roman"/>
                <w:noProof/>
                <w:color w:val="000000"/>
                <w:spacing w:val="1"/>
                <w:sz w:val="22"/>
                <w:szCs w:val="22"/>
              </w:rPr>
              <w:t xml:space="preserve"> </w:t>
            </w:r>
            <w:r w:rsidRPr="0001436A">
              <w:rPr>
                <w:rFonts w:eastAsia="Times New Roman" w:cs="Times New Roman"/>
                <w:noProof/>
                <w:color w:val="000000"/>
                <w:spacing w:val="-1"/>
                <w:sz w:val="22"/>
                <w:szCs w:val="22"/>
              </w:rPr>
              <w:t xml:space="preserve">geriatryczną </w:t>
            </w:r>
          </w:p>
          <w:p w:rsidR="00293AAE" w:rsidRPr="0001436A" w:rsidRDefault="00293AAE" w:rsidP="00D65F10">
            <w:pPr>
              <w:pStyle w:val="Akapitzlist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noProof/>
                <w:color w:val="000000"/>
                <w:spacing w:val="-1"/>
                <w:sz w:val="22"/>
                <w:szCs w:val="22"/>
              </w:rPr>
              <w:t>oraz</w:t>
            </w:r>
            <w:r w:rsidRPr="0001436A">
              <w:rPr>
                <w:rFonts w:eastAsia="Times New Roman" w:cs="Times New Roman"/>
                <w:noProof/>
                <w:color w:val="000000"/>
                <w:sz w:val="22"/>
                <w:szCs w:val="22"/>
              </w:rPr>
              <w:t xml:space="preserve"> </w:t>
            </w:r>
            <w:r w:rsidRPr="0001436A">
              <w:rPr>
                <w:rFonts w:eastAsia="Times New Roman" w:cs="Times New Roman"/>
                <w:noProof/>
                <w:color w:val="000000"/>
                <w:spacing w:val="-1"/>
                <w:sz w:val="22"/>
                <w:szCs w:val="22"/>
              </w:rPr>
              <w:t xml:space="preserve">interpretować </w:t>
            </w:r>
            <w:r w:rsidRPr="0001436A">
              <w:rPr>
                <w:rFonts w:eastAsia="Times New Roman" w:cs="Times New Roman"/>
                <w:noProof/>
                <w:color w:val="000000"/>
                <w:sz w:val="22"/>
                <w:szCs w:val="22"/>
              </w:rPr>
              <w:t>jej wyniki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>).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AAE" w:rsidRPr="0001436A" w:rsidRDefault="00293AAE" w:rsidP="00D65F10">
            <w:pPr>
              <w:snapToGri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6</w:t>
            </w:r>
          </w:p>
        </w:tc>
      </w:tr>
      <w:tr w:rsidR="00293AAE" w:rsidRPr="006931F7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lastRenderedPageBreak/>
              <w:t>22. Literatura</w:t>
            </w:r>
          </w:p>
        </w:tc>
      </w:tr>
      <w:tr w:rsidR="00293AAE" w:rsidRPr="00967028" w:rsidTr="00D65F10">
        <w:tc>
          <w:tcPr>
            <w:tcW w:w="9748" w:type="dxa"/>
            <w:gridSpan w:val="5"/>
            <w:shd w:val="clear" w:color="auto" w:fill="auto"/>
            <w:vAlign w:val="center"/>
          </w:tcPr>
          <w:p w:rsidR="00293AAE" w:rsidRPr="0001436A" w:rsidRDefault="00293AAE" w:rsidP="00D65F10">
            <w:pPr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i/>
                <w:color w:val="000000"/>
                <w:sz w:val="22"/>
                <w:szCs w:val="22"/>
              </w:rPr>
              <w:t>Literatura podstawowa</w:t>
            </w:r>
            <w:r w:rsidRPr="0001436A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:</w:t>
            </w:r>
          </w:p>
          <w:p w:rsidR="00293AAE" w:rsidRPr="0001436A" w:rsidRDefault="00293AAE" w:rsidP="00293AAE">
            <w:pPr>
              <w:pStyle w:val="Akapitzlist"/>
              <w:numPr>
                <w:ilvl w:val="0"/>
                <w:numId w:val="9"/>
              </w:num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Backup K.: Testy kliniczne w badaniu kości mięśni i stawów. PZWL, Warszawa 2005.</w:t>
            </w:r>
          </w:p>
          <w:p w:rsidR="00293AAE" w:rsidRPr="0001436A" w:rsidRDefault="00293AAE" w:rsidP="00293AAE">
            <w:pPr>
              <w:pStyle w:val="Akapitzlist"/>
              <w:numPr>
                <w:ilvl w:val="0"/>
                <w:numId w:val="9"/>
              </w:numPr>
              <w:autoSpaceDE w:val="0"/>
              <w:rPr>
                <w:rFonts w:cs="Times New Roman"/>
                <w:sz w:val="22"/>
                <w:szCs w:val="22"/>
              </w:rPr>
            </w:pPr>
            <w:r w:rsidRPr="0001436A">
              <w:rPr>
                <w:rFonts w:cs="Times New Roman"/>
                <w:sz w:val="22"/>
                <w:szCs w:val="22"/>
              </w:rPr>
              <w:t>Skolimowski T., Badania czynnościowe narządu ruchu w fizjoterapii, AWF Wrocław 2009.</w:t>
            </w:r>
          </w:p>
          <w:p w:rsidR="00293AAE" w:rsidRPr="0001436A" w:rsidRDefault="00293AAE" w:rsidP="00293AAE">
            <w:pPr>
              <w:pStyle w:val="Akapitzlist"/>
              <w:numPr>
                <w:ilvl w:val="0"/>
                <w:numId w:val="9"/>
              </w:numPr>
              <w:autoSpaceDE w:val="0"/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Hepp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W.R., </w:t>
            </w: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Debrunner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H.U.: Diagnostyka w ortopedii. PZWL, Warszawa 2008.</w:t>
            </w:r>
          </w:p>
          <w:p w:rsidR="00293AAE" w:rsidRPr="0001436A" w:rsidRDefault="00293AAE" w:rsidP="00293AAE">
            <w:pPr>
              <w:pStyle w:val="Akapitzlist"/>
              <w:numPr>
                <w:ilvl w:val="0"/>
                <w:numId w:val="9"/>
              </w:numPr>
              <w:autoSpaceDE w:val="0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Nicola J. </w:t>
            </w: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Petty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: Badanie i ocena narządu ruchu. </w:t>
            </w: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Elsevier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Urban&amp;Partner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, Wrocław 2010.</w:t>
            </w:r>
          </w:p>
          <w:p w:rsidR="00293AAE" w:rsidRPr="0001436A" w:rsidRDefault="00293AAE" w:rsidP="00293AAE">
            <w:pPr>
              <w:pStyle w:val="Akapitzlist"/>
              <w:numPr>
                <w:ilvl w:val="0"/>
                <w:numId w:val="9"/>
              </w:numPr>
              <w:autoSpaceDE w:val="0"/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Seyed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Behrooz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, Mostowi : Szybka diagnoza w ortopedii. PZWL, Warszawa 2011. </w:t>
            </w:r>
          </w:p>
          <w:p w:rsidR="00293AAE" w:rsidRPr="0001436A" w:rsidRDefault="00293AAE" w:rsidP="00D65F10">
            <w:pPr>
              <w:autoSpaceDE w:val="0"/>
              <w:rPr>
                <w:rFonts w:eastAsia="Times New Roman" w:cs="Times New Roman"/>
                <w:i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i/>
                <w:color w:val="000000"/>
                <w:sz w:val="22"/>
                <w:szCs w:val="22"/>
              </w:rPr>
              <w:t>Literatura uzupełniająca:</w:t>
            </w:r>
          </w:p>
          <w:p w:rsidR="00293AAE" w:rsidRPr="0001436A" w:rsidRDefault="00293AAE" w:rsidP="00293AAE">
            <w:pPr>
              <w:pStyle w:val="Akapitzlist"/>
              <w:numPr>
                <w:ilvl w:val="0"/>
                <w:numId w:val="10"/>
              </w:numPr>
              <w:autoSpaceDE w:val="0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Błaszczyk J.W.: Biomechanika kliniczna. PZWL, Warszawa 2004..</w:t>
            </w:r>
          </w:p>
          <w:p w:rsidR="00293AAE" w:rsidRPr="0001436A" w:rsidRDefault="00293AAE" w:rsidP="00293AAE">
            <w:pPr>
              <w:pStyle w:val="Akapitzlist"/>
              <w:numPr>
                <w:ilvl w:val="0"/>
                <w:numId w:val="10"/>
              </w:numPr>
              <w:autoSpaceDE w:val="0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Nowotny J., </w:t>
            </w: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Saulicz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E.: Niektóre zaburzenia statyki ciała i ich korekcja. Wyd. AWF, Katowice 1998.</w:t>
            </w:r>
          </w:p>
          <w:p w:rsidR="00293AAE" w:rsidRPr="0001436A" w:rsidRDefault="00293AAE" w:rsidP="00293AAE">
            <w:pPr>
              <w:pStyle w:val="Akapitzlist"/>
              <w:numPr>
                <w:ilvl w:val="0"/>
                <w:numId w:val="10"/>
              </w:numPr>
              <w:autoSpaceDE w:val="0"/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Pąchalski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A. i </w:t>
            </w: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wsp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.: Metody badania narządu ruchu w rehabilitacji klinicznej. AWF, Kraków, 1991.</w:t>
            </w:r>
          </w:p>
          <w:p w:rsidR="00293AAE" w:rsidRPr="0001436A" w:rsidRDefault="00293AAE" w:rsidP="00293AAE">
            <w:pPr>
              <w:pStyle w:val="Akapitzlist"/>
              <w:numPr>
                <w:ilvl w:val="0"/>
                <w:numId w:val="10"/>
              </w:numPr>
              <w:autoSpaceDE w:val="0"/>
              <w:rPr>
                <w:rFonts w:cs="Times New Roman"/>
                <w:sz w:val="22"/>
                <w:szCs w:val="22"/>
              </w:rPr>
            </w:pPr>
            <w:proofErr w:type="spellStart"/>
            <w:r w:rsidRPr="0001436A">
              <w:rPr>
                <w:rFonts w:cs="Times New Roman"/>
                <w:sz w:val="22"/>
                <w:szCs w:val="22"/>
              </w:rPr>
              <w:t>Brotzman</w:t>
            </w:r>
            <w:proofErr w:type="spellEnd"/>
            <w:r w:rsidRPr="0001436A">
              <w:rPr>
                <w:rFonts w:cs="Times New Roman"/>
                <w:sz w:val="22"/>
                <w:szCs w:val="22"/>
              </w:rPr>
              <w:t xml:space="preserve"> S.B., Wilk K.E. (red. wyd. polskiego: Dziak A.), Rehabilitacja Ortopedyczna, </w:t>
            </w:r>
            <w:proofErr w:type="spellStart"/>
            <w:r w:rsidRPr="0001436A">
              <w:rPr>
                <w:rFonts w:cs="Times New Roman"/>
                <w:sz w:val="22"/>
                <w:szCs w:val="22"/>
              </w:rPr>
              <w:t>Elsevier</w:t>
            </w:r>
            <w:proofErr w:type="spellEnd"/>
            <w:r w:rsidRPr="0001436A">
              <w:rPr>
                <w:rFonts w:cs="Times New Roman"/>
                <w:sz w:val="22"/>
                <w:szCs w:val="22"/>
              </w:rPr>
              <w:t xml:space="preserve"> Urban &amp; </w:t>
            </w:r>
            <w:proofErr w:type="spellStart"/>
            <w:r w:rsidRPr="0001436A">
              <w:rPr>
                <w:rFonts w:cs="Times New Roman"/>
                <w:sz w:val="22"/>
                <w:szCs w:val="22"/>
              </w:rPr>
              <w:t>Parnter</w:t>
            </w:r>
            <w:proofErr w:type="spellEnd"/>
            <w:r w:rsidRPr="0001436A">
              <w:rPr>
                <w:rFonts w:cs="Times New Roman"/>
                <w:sz w:val="22"/>
                <w:szCs w:val="22"/>
              </w:rPr>
              <w:t xml:space="preserve">, 2008; Tom I </w:t>
            </w:r>
            <w:proofErr w:type="spellStart"/>
            <w:r w:rsidRPr="0001436A">
              <w:rPr>
                <w:rFonts w:cs="Times New Roman"/>
                <w:sz w:val="22"/>
                <w:szCs w:val="22"/>
              </w:rPr>
              <w:t>i</w:t>
            </w:r>
            <w:proofErr w:type="spellEnd"/>
            <w:r w:rsidRPr="0001436A">
              <w:rPr>
                <w:rFonts w:cs="Times New Roman"/>
                <w:sz w:val="22"/>
                <w:szCs w:val="22"/>
              </w:rPr>
              <w:t xml:space="preserve"> II. </w:t>
            </w:r>
          </w:p>
          <w:p w:rsidR="00293AAE" w:rsidRPr="0001436A" w:rsidRDefault="00293AAE" w:rsidP="00293AAE">
            <w:pPr>
              <w:pStyle w:val="Akapitzlist"/>
              <w:numPr>
                <w:ilvl w:val="0"/>
                <w:numId w:val="10"/>
              </w:numPr>
              <w:autoSpaceDE w:val="0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sz w:val="22"/>
                <w:szCs w:val="22"/>
              </w:rPr>
              <w:t xml:space="preserve">Nowotny J., Podstawy Fizjoterapii, KASPER, Kraków 2004.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</w:p>
          <w:p w:rsidR="00293AAE" w:rsidRPr="006931F7" w:rsidRDefault="00293AAE" w:rsidP="00D65F10">
            <w:pPr>
              <w:widowControl/>
              <w:suppressAutoHyphens w:val="0"/>
              <w:ind w:left="360"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  <w:lang w:val="en-GB"/>
              </w:rPr>
              <w:t xml:space="preserve">WHO - ICF : </w:t>
            </w:r>
            <w:hyperlink r:id="rId8" w:history="1">
              <w:r w:rsidRPr="0001436A">
                <w:rPr>
                  <w:rStyle w:val="Hipercze"/>
                  <w:rFonts w:cs="Times New Roman"/>
                  <w:color w:val="000000"/>
                  <w:sz w:val="22"/>
                  <w:szCs w:val="22"/>
                  <w:lang w:val="en-GB"/>
                </w:rPr>
                <w:t>https://www.who.int/classifications/icf/en/</w:t>
              </w:r>
            </w:hyperlink>
            <w:r w:rsidRPr="0001436A">
              <w:rPr>
                <w:rFonts w:cs="Times New Roman"/>
                <w:color w:val="000000"/>
                <w:sz w:val="22"/>
                <w:szCs w:val="22"/>
                <w:lang w:val="en-GB"/>
              </w:rPr>
              <w:t xml:space="preserve"> 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  <w:lang w:val="en-GB"/>
              </w:rPr>
              <w:t>oraz</w:t>
            </w:r>
            <w:proofErr w:type="spellEnd"/>
            <w:r>
              <w:rPr>
                <w:rFonts w:cs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r w:rsidRPr="0001436A">
              <w:rPr>
                <w:rFonts w:cs="Times New Roman"/>
                <w:color w:val="000000"/>
                <w:sz w:val="22"/>
                <w:szCs w:val="22"/>
                <w:lang w:val="en-GB"/>
              </w:rPr>
              <w:t xml:space="preserve">https://www.csioz.gov.pl/fileadmin/user_upload/Wytyczne/statystyka/icf_polish_version_56a8f7984213a.pdf </w:t>
            </w:r>
            <w:r w:rsidRPr="0001436A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                                                                          </w:t>
            </w:r>
          </w:p>
        </w:tc>
      </w:tr>
      <w:tr w:rsidR="00293AAE" w:rsidRPr="006931F7" w:rsidTr="00D65F10">
        <w:tc>
          <w:tcPr>
            <w:tcW w:w="9748" w:type="dxa"/>
            <w:gridSpan w:val="5"/>
            <w:shd w:val="clear" w:color="auto" w:fill="BFBFBF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23. Kryteria oceny – szczegóły</w:t>
            </w:r>
          </w:p>
        </w:tc>
      </w:tr>
      <w:tr w:rsidR="00293AAE" w:rsidRPr="006931F7" w:rsidTr="00D65F10">
        <w:tc>
          <w:tcPr>
            <w:tcW w:w="9748" w:type="dxa"/>
            <w:gridSpan w:val="5"/>
            <w:vAlign w:val="center"/>
          </w:tcPr>
          <w:p w:rsidR="00293AAE" w:rsidRPr="006931F7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Zgodnie z zaleceniami organów kontrolujących.</w:t>
            </w:r>
          </w:p>
          <w:p w:rsidR="00293AAE" w:rsidRPr="006931F7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Zaliczenie przedmiotu - student osiągnął zakładane efekty uczenia się.</w:t>
            </w:r>
          </w:p>
          <w:p w:rsidR="00293AAE" w:rsidRPr="006931F7" w:rsidRDefault="00293AAE" w:rsidP="00D65F10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Szczegółowe kryteria zaliczenia i oceny z przedmiotu są zamieszczone w regulaminie przedmiotu.</w:t>
            </w:r>
          </w:p>
        </w:tc>
      </w:tr>
    </w:tbl>
    <w:p w:rsidR="00293AAE" w:rsidRPr="006931F7" w:rsidRDefault="00293AAE" w:rsidP="00293AAE">
      <w:pPr>
        <w:widowControl/>
        <w:suppressAutoHyphens w:val="0"/>
        <w:spacing w:after="160" w:line="259" w:lineRule="auto"/>
        <w:rPr>
          <w:rFonts w:eastAsia="Calibri" w:cs="Times New Roman"/>
          <w:color w:val="000000"/>
          <w:kern w:val="0"/>
          <w:sz w:val="22"/>
          <w:szCs w:val="22"/>
          <w:lang w:eastAsia="en-US" w:bidi="ar-SA"/>
        </w:rPr>
      </w:pPr>
    </w:p>
    <w:p w:rsidR="00293AAE" w:rsidRPr="006931F7" w:rsidRDefault="00293AAE" w:rsidP="00293AAE">
      <w:pPr>
        <w:widowControl/>
        <w:suppressAutoHyphens w:val="0"/>
        <w:spacing w:after="160" w:line="259" w:lineRule="auto"/>
        <w:rPr>
          <w:rFonts w:eastAsia="Calibri" w:cs="Times New Roman"/>
          <w:i/>
          <w:iCs/>
          <w:color w:val="000000"/>
          <w:kern w:val="0"/>
          <w:sz w:val="22"/>
          <w:szCs w:val="22"/>
          <w:lang w:eastAsia="en-US" w:bidi="ar-SA"/>
        </w:rPr>
      </w:pPr>
    </w:p>
    <w:p w:rsidR="006931F7" w:rsidRPr="002D21A6" w:rsidRDefault="006931F7" w:rsidP="008E3729">
      <w:pPr>
        <w:rPr>
          <w:rFonts w:cs="Times New Roman"/>
          <w:color w:val="000000" w:themeColor="text1"/>
          <w:sz w:val="22"/>
          <w:szCs w:val="22"/>
        </w:rPr>
      </w:pPr>
    </w:p>
    <w:sectPr w:rsidR="006931F7" w:rsidRPr="002D21A6" w:rsidSect="00A57512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A86026"/>
    <w:multiLevelType w:val="hybridMultilevel"/>
    <w:tmpl w:val="C18A6E2A"/>
    <w:lvl w:ilvl="0" w:tplc="B04863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84697"/>
    <w:multiLevelType w:val="hybridMultilevel"/>
    <w:tmpl w:val="DF42847A"/>
    <w:lvl w:ilvl="0" w:tplc="B04863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66D83"/>
    <w:multiLevelType w:val="hybridMultilevel"/>
    <w:tmpl w:val="07BC0BA6"/>
    <w:lvl w:ilvl="0" w:tplc="33E899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21DFF"/>
    <w:multiLevelType w:val="hybridMultilevel"/>
    <w:tmpl w:val="CAF25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62477"/>
    <w:multiLevelType w:val="hybridMultilevel"/>
    <w:tmpl w:val="3B5CB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7F0"/>
    <w:rsid w:val="00004DB2"/>
    <w:rsid w:val="0001436A"/>
    <w:rsid w:val="001018DD"/>
    <w:rsid w:val="00122568"/>
    <w:rsid w:val="0012403D"/>
    <w:rsid w:val="0019212E"/>
    <w:rsid w:val="001B06F1"/>
    <w:rsid w:val="001F260F"/>
    <w:rsid w:val="002309BB"/>
    <w:rsid w:val="00237F3A"/>
    <w:rsid w:val="00287355"/>
    <w:rsid w:val="00293AAE"/>
    <w:rsid w:val="002C713E"/>
    <w:rsid w:val="002D21A6"/>
    <w:rsid w:val="00301F0D"/>
    <w:rsid w:val="003B2A36"/>
    <w:rsid w:val="003C0133"/>
    <w:rsid w:val="004417C6"/>
    <w:rsid w:val="00493C1C"/>
    <w:rsid w:val="00551E3D"/>
    <w:rsid w:val="0058187B"/>
    <w:rsid w:val="005A7CEF"/>
    <w:rsid w:val="005B6FA2"/>
    <w:rsid w:val="005D635E"/>
    <w:rsid w:val="00605CED"/>
    <w:rsid w:val="00637D3F"/>
    <w:rsid w:val="00663792"/>
    <w:rsid w:val="00670E43"/>
    <w:rsid w:val="00680239"/>
    <w:rsid w:val="006931F7"/>
    <w:rsid w:val="006954C4"/>
    <w:rsid w:val="007068C6"/>
    <w:rsid w:val="00723974"/>
    <w:rsid w:val="007E038B"/>
    <w:rsid w:val="008524E2"/>
    <w:rsid w:val="00865928"/>
    <w:rsid w:val="00887389"/>
    <w:rsid w:val="008B2AE9"/>
    <w:rsid w:val="008B2D8A"/>
    <w:rsid w:val="008C634E"/>
    <w:rsid w:val="008E3729"/>
    <w:rsid w:val="008F2B80"/>
    <w:rsid w:val="00967028"/>
    <w:rsid w:val="0099202E"/>
    <w:rsid w:val="009F762D"/>
    <w:rsid w:val="00A57512"/>
    <w:rsid w:val="00A610EF"/>
    <w:rsid w:val="00A75CA3"/>
    <w:rsid w:val="00AE2F58"/>
    <w:rsid w:val="00B12E51"/>
    <w:rsid w:val="00B30BBF"/>
    <w:rsid w:val="00B35550"/>
    <w:rsid w:val="00B6160E"/>
    <w:rsid w:val="00B84CB4"/>
    <w:rsid w:val="00B85BD7"/>
    <w:rsid w:val="00C42A72"/>
    <w:rsid w:val="00C809E4"/>
    <w:rsid w:val="00C82A7B"/>
    <w:rsid w:val="00CC64BA"/>
    <w:rsid w:val="00CE3A9A"/>
    <w:rsid w:val="00CF69E1"/>
    <w:rsid w:val="00D27BCC"/>
    <w:rsid w:val="00D327F0"/>
    <w:rsid w:val="00D3610B"/>
    <w:rsid w:val="00D70330"/>
    <w:rsid w:val="00DB3086"/>
    <w:rsid w:val="00DC5259"/>
    <w:rsid w:val="00DD0700"/>
    <w:rsid w:val="00DE18EC"/>
    <w:rsid w:val="00E767AD"/>
    <w:rsid w:val="00EF6E76"/>
    <w:rsid w:val="00F60F32"/>
    <w:rsid w:val="00F734C9"/>
    <w:rsid w:val="00FA53D9"/>
    <w:rsid w:val="00FC2731"/>
    <w:rsid w:val="00FC7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7512"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2">
    <w:name w:val="Odwołanie do komentarza2"/>
    <w:rsid w:val="00A57512"/>
    <w:rPr>
      <w:sz w:val="16"/>
      <w:szCs w:val="16"/>
    </w:rPr>
  </w:style>
  <w:style w:type="character" w:customStyle="1" w:styleId="Odwoaniedokomentarza1">
    <w:name w:val="Odwołanie do komentarza1"/>
    <w:rsid w:val="00A57512"/>
    <w:rPr>
      <w:sz w:val="16"/>
      <w:szCs w:val="16"/>
    </w:rPr>
  </w:style>
  <w:style w:type="character" w:customStyle="1" w:styleId="WW8Num1z0">
    <w:name w:val="WW8Num1z0"/>
    <w:rsid w:val="00A57512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A57512"/>
  </w:style>
  <w:style w:type="character" w:customStyle="1" w:styleId="WW8Num2z1">
    <w:name w:val="WW8Num2z1"/>
    <w:rsid w:val="00A57512"/>
    <w:rPr>
      <w:rFonts w:ascii="OpenSymbol" w:hAnsi="OpenSymbol" w:cs="OpenSymbol"/>
    </w:rPr>
  </w:style>
  <w:style w:type="character" w:customStyle="1" w:styleId="WW8Num3z0">
    <w:name w:val="WW8Num3z0"/>
    <w:rsid w:val="00A57512"/>
    <w:rPr>
      <w:b/>
    </w:rPr>
  </w:style>
  <w:style w:type="character" w:customStyle="1" w:styleId="WW8Num3z1">
    <w:name w:val="WW8Num3z1"/>
    <w:rsid w:val="00A57512"/>
  </w:style>
  <w:style w:type="character" w:customStyle="1" w:styleId="WW8Num3z2">
    <w:name w:val="WW8Num3z2"/>
    <w:rsid w:val="00A57512"/>
  </w:style>
  <w:style w:type="character" w:customStyle="1" w:styleId="WW8Num3z3">
    <w:name w:val="WW8Num3z3"/>
    <w:rsid w:val="00A57512"/>
  </w:style>
  <w:style w:type="character" w:customStyle="1" w:styleId="WW8Num3z4">
    <w:name w:val="WW8Num3z4"/>
    <w:rsid w:val="00A57512"/>
  </w:style>
  <w:style w:type="character" w:customStyle="1" w:styleId="WW8Num3z5">
    <w:name w:val="WW8Num3z5"/>
    <w:rsid w:val="00A57512"/>
  </w:style>
  <w:style w:type="character" w:customStyle="1" w:styleId="WW8Num3z6">
    <w:name w:val="WW8Num3z6"/>
    <w:rsid w:val="00A57512"/>
  </w:style>
  <w:style w:type="character" w:customStyle="1" w:styleId="WW8Num3z7">
    <w:name w:val="WW8Num3z7"/>
    <w:rsid w:val="00A57512"/>
  </w:style>
  <w:style w:type="character" w:customStyle="1" w:styleId="WW8Num3z8">
    <w:name w:val="WW8Num3z8"/>
    <w:rsid w:val="00A57512"/>
  </w:style>
  <w:style w:type="character" w:customStyle="1" w:styleId="WW8Num4z0">
    <w:name w:val="WW8Num4z0"/>
    <w:rsid w:val="00A57512"/>
  </w:style>
  <w:style w:type="character" w:customStyle="1" w:styleId="WW8Num4z1">
    <w:name w:val="WW8Num4z1"/>
    <w:rsid w:val="00A57512"/>
  </w:style>
  <w:style w:type="character" w:customStyle="1" w:styleId="WW8Num4z2">
    <w:name w:val="WW8Num4z2"/>
    <w:rsid w:val="00A57512"/>
  </w:style>
  <w:style w:type="character" w:customStyle="1" w:styleId="WW8Num4z3">
    <w:name w:val="WW8Num4z3"/>
    <w:rsid w:val="00A57512"/>
  </w:style>
  <w:style w:type="character" w:customStyle="1" w:styleId="WW8Num4z4">
    <w:name w:val="WW8Num4z4"/>
    <w:rsid w:val="00A57512"/>
  </w:style>
  <w:style w:type="character" w:customStyle="1" w:styleId="WW8Num4z5">
    <w:name w:val="WW8Num4z5"/>
    <w:rsid w:val="00A57512"/>
  </w:style>
  <w:style w:type="character" w:customStyle="1" w:styleId="WW8Num4z6">
    <w:name w:val="WW8Num4z6"/>
    <w:rsid w:val="00A57512"/>
  </w:style>
  <w:style w:type="character" w:customStyle="1" w:styleId="WW8Num4z7">
    <w:name w:val="WW8Num4z7"/>
    <w:rsid w:val="00A57512"/>
  </w:style>
  <w:style w:type="character" w:customStyle="1" w:styleId="WW8Num4z8">
    <w:name w:val="WW8Num4z8"/>
    <w:rsid w:val="00A57512"/>
  </w:style>
  <w:style w:type="character" w:customStyle="1" w:styleId="Znakinumeracji">
    <w:name w:val="Znaki numeracji"/>
    <w:rsid w:val="00A57512"/>
  </w:style>
  <w:style w:type="character" w:styleId="Hipercze">
    <w:name w:val="Hyperlink"/>
    <w:rsid w:val="00A57512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rsid w:val="00A5751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A57512"/>
    <w:pPr>
      <w:spacing w:after="120"/>
    </w:pPr>
  </w:style>
  <w:style w:type="paragraph" w:styleId="Lista">
    <w:name w:val="List"/>
    <w:basedOn w:val="Tekstpodstawowy"/>
    <w:rsid w:val="00A57512"/>
  </w:style>
  <w:style w:type="paragraph" w:customStyle="1" w:styleId="Podpis1">
    <w:name w:val="Podpis1"/>
    <w:basedOn w:val="Normalny"/>
    <w:rsid w:val="00A5751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A57512"/>
    <w:pPr>
      <w:suppressLineNumbers/>
    </w:pPr>
  </w:style>
  <w:style w:type="paragraph" w:styleId="Akapitzlist">
    <w:name w:val="List Paragraph"/>
    <w:basedOn w:val="Normalny"/>
    <w:uiPriority w:val="34"/>
    <w:qFormat/>
    <w:rsid w:val="00A57512"/>
    <w:pPr>
      <w:ind w:left="720"/>
    </w:pPr>
  </w:style>
  <w:style w:type="paragraph" w:customStyle="1" w:styleId="Zawartotabeli">
    <w:name w:val="Zawartość tabeli"/>
    <w:basedOn w:val="Normalny"/>
    <w:rsid w:val="00A57512"/>
    <w:pPr>
      <w:suppressLineNumbers/>
    </w:pPr>
  </w:style>
  <w:style w:type="paragraph" w:customStyle="1" w:styleId="Nagwektabeli">
    <w:name w:val="Nagłówek tabeli"/>
    <w:basedOn w:val="Zawartotabeli"/>
    <w:rsid w:val="00A57512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7F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D327F0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6E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o.int/classifications/icf/e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itefull-cache xmlns="urn:writefull-cache:UserChoices">{}</writefull-cache>
</file>

<file path=customXml/item2.xml><?xml version="1.0" encoding="utf-8"?>
<writefull-cache xmlns="urn:writefull-cache:Suggestions">{"suggestions":{},"typeOfAccount":"premium"}</writefull-cache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797B6861-E43D-46FC-9ED3-42DEAD28BF84}">
  <ds:schemaRefs>
    <ds:schemaRef ds:uri="urn:writefull-cache:UserChoices"/>
  </ds:schemaRefs>
</ds:datastoreItem>
</file>

<file path=customXml/itemProps2.xml><?xml version="1.0" encoding="utf-8"?>
<ds:datastoreItem xmlns:ds="http://schemas.openxmlformats.org/officeDocument/2006/customXml" ds:itemID="{243CD5A4-E31B-4CE6-B4D8-541DCE41F57C}">
  <ds:schemaRefs>
    <ds:schemaRef ds:uri="urn:writefull-cache:Suggestions"/>
  </ds:schemaRefs>
</ds:datastoreItem>
</file>

<file path=customXml/itemProps3.xml><?xml version="1.0" encoding="utf-8"?>
<ds:datastoreItem xmlns:ds="http://schemas.openxmlformats.org/officeDocument/2006/customXml" ds:itemID="{E83E260B-618C-4D94-B2AC-F4E07B9EA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1479</Words>
  <Characters>8876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10335</CharactersWithSpaces>
  <SharedDoc>false</SharedDoc>
  <HLinks>
    <vt:vector size="12" baseType="variant">
      <vt:variant>
        <vt:i4>2883675</vt:i4>
      </vt:variant>
      <vt:variant>
        <vt:i4>3</vt:i4>
      </vt:variant>
      <vt:variant>
        <vt:i4>0</vt:i4>
      </vt:variant>
      <vt:variant>
        <vt:i4>5</vt:i4>
      </vt:variant>
      <vt:variant>
        <vt:lpwstr>https://apps.who.int/iris/bitstream/handle/10665/42407/9241545429_pol.pdf?sequence=67</vt:lpwstr>
      </vt:variant>
      <vt:variant>
        <vt:lpwstr/>
      </vt:variant>
      <vt:variant>
        <vt:i4>3866675</vt:i4>
      </vt:variant>
      <vt:variant>
        <vt:i4>0</vt:i4>
      </vt:variant>
      <vt:variant>
        <vt:i4>0</vt:i4>
      </vt:variant>
      <vt:variant>
        <vt:i4>5</vt:i4>
      </vt:variant>
      <vt:variant>
        <vt:lpwstr>https://www.who.int/classifications/icf/en/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 KG</dc:creator>
  <cp:lastModifiedBy>Katarzyna Opiela</cp:lastModifiedBy>
  <cp:revision>5</cp:revision>
  <cp:lastPrinted>1900-12-31T23:00:00Z</cp:lastPrinted>
  <dcterms:created xsi:type="dcterms:W3CDTF">2024-02-24T14:42:00Z</dcterms:created>
  <dcterms:modified xsi:type="dcterms:W3CDTF">2024-08-21T11:24:00Z</dcterms:modified>
</cp:coreProperties>
</file>