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279E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279E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279ED">
        <w:rPr>
          <w:b/>
          <w:i/>
          <w:sz w:val="22"/>
        </w:rPr>
        <w:t>Załącznik nr 1a</w:t>
      </w:r>
    </w:p>
    <w:p w:rsidR="00B56D8E" w:rsidRPr="008279ED" w:rsidRDefault="008050C4" w:rsidP="00B56D8E">
      <w:pPr>
        <w:pStyle w:val="Nagwek1"/>
        <w:spacing w:after="160"/>
        <w:ind w:left="11" w:right="607" w:hanging="11"/>
        <w:rPr>
          <w:sz w:val="22"/>
        </w:rPr>
      </w:pPr>
      <w:r w:rsidRPr="008279ED">
        <w:rPr>
          <w:sz w:val="22"/>
        </w:rPr>
        <w:t xml:space="preserve">Karta przedmiotu </w:t>
      </w:r>
    </w:p>
    <w:p w:rsidR="008050C4" w:rsidRPr="008279ED" w:rsidRDefault="008050C4" w:rsidP="00B56D8E">
      <w:pPr>
        <w:pStyle w:val="Nagwek1"/>
        <w:spacing w:after="160"/>
        <w:ind w:left="11" w:right="607" w:hanging="11"/>
        <w:rPr>
          <w:sz w:val="22"/>
        </w:rPr>
      </w:pPr>
      <w:r w:rsidRPr="008279E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8279E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279E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279ED">
              <w:rPr>
                <w:b/>
              </w:rPr>
              <w:t xml:space="preserve">Informacje ogólne o przedmiocie </w:t>
            </w:r>
          </w:p>
        </w:tc>
      </w:tr>
      <w:tr w:rsidR="0004413E" w:rsidRPr="008279ED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279E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279ED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8279ED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279ED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8279ED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8279ED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8279E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279ED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8279ED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8279ED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8279ED">
              <w:rPr>
                <w:b/>
                <w:color w:val="000000" w:themeColor="text1"/>
              </w:rPr>
              <w:t xml:space="preserve">4. Rok: </w:t>
            </w:r>
            <w:r w:rsidR="00EA1A9B" w:rsidRPr="008279ED">
              <w:rPr>
                <w:color w:val="000000" w:themeColor="text1"/>
              </w:rPr>
              <w:t xml:space="preserve">II </w:t>
            </w:r>
            <w:r w:rsidR="000B3EC3" w:rsidRPr="008279ED">
              <w:rPr>
                <w:color w:val="000000" w:themeColor="text1"/>
              </w:rPr>
              <w:t xml:space="preserve"> / cykl 2024</w:t>
            </w:r>
            <w:r w:rsidRPr="008279ED">
              <w:rPr>
                <w:color w:val="000000" w:themeColor="text1"/>
              </w:rPr>
              <w:t>-202</w:t>
            </w:r>
            <w:r w:rsidR="000B3EC3" w:rsidRPr="008279ED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279ED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7C4C5D" w:rsidRPr="008279ED">
              <w:rPr>
                <w:rFonts w:ascii="Times New Roman" w:hAnsi="Times New Roman"/>
                <w:color w:val="000000" w:themeColor="text1"/>
              </w:rPr>
              <w:t>I</w:t>
            </w:r>
            <w:r w:rsidR="00DE484C" w:rsidRPr="008279ED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04413E" w:rsidRPr="008279E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B56D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279ED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8279ED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8279ED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8279E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6D8E" w:rsidRPr="008279ED">
              <w:rPr>
                <w:rFonts w:ascii="Times New Roman" w:hAnsi="Times New Roman"/>
                <w:color w:val="000000" w:themeColor="text1"/>
              </w:rPr>
              <w:t>ginekologii i położnictwie</w:t>
            </w:r>
          </w:p>
        </w:tc>
      </w:tr>
      <w:tr w:rsidR="0004413E" w:rsidRPr="008279E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279ED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8279ED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8279ED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279ED">
              <w:rPr>
                <w:b/>
              </w:rPr>
              <w:t xml:space="preserve">8.  Cel/-e przedmiotu  </w:t>
            </w:r>
          </w:p>
          <w:p w:rsidR="000753EB" w:rsidRPr="008279ED" w:rsidRDefault="00B56D8E" w:rsidP="00B56D8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>Celem przedmiotu jest przygotowanie do prawidłowej opieki fizjoterapeutycznej w okresie okołoporodowym i okołooperacyjnym pacjentek w różnych grupach wiekowych, szczególnie w okresie ciąży, porodu i menopauzy.</w:t>
            </w:r>
          </w:p>
          <w:p w:rsidR="00B56D8E" w:rsidRPr="008279ED" w:rsidRDefault="00B56D8E" w:rsidP="00B56D8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</w:p>
          <w:p w:rsidR="000753EB" w:rsidRPr="008279ED" w:rsidRDefault="000753EB" w:rsidP="008279ED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8279ED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8279ED">
              <w:rPr>
                <w:rFonts w:eastAsia="Calibri"/>
                <w:lang w:eastAsia="en-US"/>
              </w:rPr>
              <w:t xml:space="preserve">zawartych w </w:t>
            </w:r>
            <w:r w:rsidRPr="008279ED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8279ED">
              <w:rPr>
                <w:rFonts w:eastAsia="Calibri"/>
                <w:lang w:eastAsia="en-US"/>
              </w:rPr>
              <w:t>:</w:t>
            </w:r>
          </w:p>
          <w:p w:rsidR="000753EB" w:rsidRPr="008279ED" w:rsidRDefault="000753EB" w:rsidP="008279ED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8279ED">
              <w:rPr>
                <w:rFonts w:eastAsia="Calibri"/>
                <w:lang w:eastAsia="en-US"/>
              </w:rPr>
              <w:t>standardach kształcenia (</w:t>
            </w:r>
            <w:r w:rsidRPr="008279ED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8279ED">
              <w:rPr>
                <w:rFonts w:eastAsia="Calibri"/>
                <w:lang w:eastAsia="en-US"/>
              </w:rPr>
              <w:t>)/Uchwale Senatu SUM</w:t>
            </w:r>
            <w:r w:rsidRPr="008279ED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04413E" w:rsidRPr="008279ED" w:rsidRDefault="0004413E" w:rsidP="008279ED">
            <w:pPr>
              <w:spacing w:after="0" w:line="259" w:lineRule="auto"/>
              <w:ind w:left="10" w:right="0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>w zakresie wiedzy student zna i rozumie: D.W3</w:t>
            </w:r>
            <w:r w:rsidR="00EA1A9B" w:rsidRPr="008279ED">
              <w:rPr>
                <w:color w:val="000000" w:themeColor="text1"/>
              </w:rPr>
              <w:t xml:space="preserve">, </w:t>
            </w:r>
            <w:r w:rsidR="00B56D8E" w:rsidRPr="008279ED">
              <w:rPr>
                <w:color w:val="000000" w:themeColor="text1"/>
              </w:rPr>
              <w:t>D.W11</w:t>
            </w:r>
          </w:p>
          <w:p w:rsidR="0004413E" w:rsidRPr="008279ED" w:rsidRDefault="0004413E" w:rsidP="008279ED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bookmarkStart w:id="0" w:name="_Hlk156320335"/>
            <w:r w:rsidRPr="008279ED">
              <w:rPr>
                <w:color w:val="000000" w:themeColor="text1"/>
              </w:rPr>
              <w:t>w zakresie umiejętności student potrafi</w:t>
            </w:r>
            <w:bookmarkEnd w:id="0"/>
            <w:r w:rsidRPr="008279ED">
              <w:rPr>
                <w:color w:val="000000" w:themeColor="text1"/>
              </w:rPr>
              <w:t>: D.U7</w:t>
            </w:r>
            <w:r w:rsidR="00BA28F6" w:rsidRPr="008279ED">
              <w:rPr>
                <w:rFonts w:eastAsia="Calibri"/>
              </w:rPr>
              <w:t xml:space="preserve">, </w:t>
            </w:r>
            <w:r w:rsidRPr="008279ED">
              <w:rPr>
                <w:color w:val="000000" w:themeColor="text1"/>
              </w:rPr>
              <w:t>D.U38</w:t>
            </w:r>
            <w:r w:rsidR="00EA1A9B" w:rsidRPr="008279ED">
              <w:rPr>
                <w:color w:val="000000" w:themeColor="text1"/>
              </w:rPr>
              <w:t xml:space="preserve">, </w:t>
            </w:r>
            <w:r w:rsidRPr="008279ED">
              <w:rPr>
                <w:color w:val="000000" w:themeColor="text1"/>
              </w:rPr>
              <w:t>D.U46</w:t>
            </w:r>
            <w:r w:rsidR="00EA1A9B" w:rsidRPr="008279ED">
              <w:rPr>
                <w:color w:val="000000" w:themeColor="text1"/>
              </w:rPr>
              <w:t xml:space="preserve">, </w:t>
            </w:r>
            <w:r w:rsidRPr="008279ED">
              <w:rPr>
                <w:color w:val="000000" w:themeColor="text1"/>
              </w:rPr>
              <w:t>D.U47</w:t>
            </w:r>
          </w:p>
          <w:p w:rsidR="0004413E" w:rsidRPr="008279ED" w:rsidRDefault="0004413E" w:rsidP="008279ED">
            <w:pPr>
              <w:spacing w:after="0" w:line="263" w:lineRule="auto"/>
              <w:ind w:left="28" w:right="296" w:firstLine="0"/>
            </w:pPr>
            <w:r w:rsidRPr="008279ED">
              <w:rPr>
                <w:color w:val="000000" w:themeColor="text1"/>
              </w:rPr>
              <w:t>w zakresie kompetencji społecznych student jest gotów do: OK_K05, OK_K06</w:t>
            </w:r>
          </w:p>
        </w:tc>
      </w:tr>
      <w:tr w:rsidR="0004413E" w:rsidRPr="008279ED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8279ED" w:rsidRDefault="002C7CF2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8279ED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8279ED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8279ED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8279ED">
              <w:rPr>
                <w:b/>
              </w:rPr>
              <w:t xml:space="preserve">2 </w:t>
            </w:r>
          </w:p>
        </w:tc>
      </w:tr>
      <w:tr w:rsidR="0004413E" w:rsidRPr="008279E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8279ED">
              <w:rPr>
                <w:b/>
              </w:rPr>
              <w:t xml:space="preserve">11. Forma zaliczenia przedmiotu: </w:t>
            </w:r>
            <w:r w:rsidRPr="008279ED">
              <w:t>egzamin zintegrowany</w:t>
            </w:r>
          </w:p>
        </w:tc>
      </w:tr>
      <w:tr w:rsidR="0004413E" w:rsidRPr="008279E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8279ED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8279ED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8279ED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8279ED">
              <w:t xml:space="preserve">Sposoby oceny*/zaliczenie </w:t>
            </w:r>
          </w:p>
        </w:tc>
      </w:tr>
      <w:tr w:rsidR="0004413E" w:rsidRPr="008279ED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279E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 xml:space="preserve">Egzamin </w:t>
            </w:r>
            <w:r w:rsidR="0004413E" w:rsidRPr="008279ED">
              <w:rPr>
                <w:color w:val="000000" w:themeColor="text1"/>
              </w:rPr>
              <w:t>pisemny</w:t>
            </w:r>
            <w:r w:rsidR="006A38B8" w:rsidRPr="008279ED">
              <w:rPr>
                <w:color w:val="000000" w:themeColor="text1"/>
              </w:rPr>
              <w:t>/</w:t>
            </w:r>
            <w:r w:rsidR="0004413E" w:rsidRPr="008279ED">
              <w:rPr>
                <w:color w:val="000000" w:themeColor="text1"/>
              </w:rPr>
              <w:t>test</w:t>
            </w:r>
            <w:r w:rsidR="008279ED">
              <w:rPr>
                <w:color w:val="000000" w:themeColor="text1"/>
              </w:rPr>
              <w:t xml:space="preserve"> </w:t>
            </w:r>
            <w:r w:rsidR="0004413E" w:rsidRPr="008279ED">
              <w:rPr>
                <w:color w:val="000000" w:themeColor="text1"/>
              </w:rPr>
              <w:t>jednokrotnego wyboru</w:t>
            </w:r>
          </w:p>
          <w:p w:rsidR="0004413E" w:rsidRPr="008279E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>D</w:t>
            </w:r>
            <w:r w:rsidR="0004413E" w:rsidRPr="008279ED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rPr>
                <w:b/>
              </w:rPr>
              <w:t xml:space="preserve"> *</w:t>
            </w:r>
          </w:p>
        </w:tc>
      </w:tr>
      <w:tr w:rsidR="0004413E" w:rsidRPr="008279ED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279ED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>Pokaz/ zaliczenie praktyczne</w:t>
            </w:r>
          </w:p>
          <w:p w:rsidR="0004413E" w:rsidRPr="008279E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>D</w:t>
            </w:r>
            <w:r w:rsidR="0004413E" w:rsidRPr="008279ED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rPr>
                <w:b/>
              </w:rPr>
              <w:t xml:space="preserve"> *</w:t>
            </w:r>
          </w:p>
        </w:tc>
      </w:tr>
      <w:tr w:rsidR="0004413E" w:rsidRPr="008279ED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279E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279ED">
              <w:rPr>
                <w:color w:val="000000" w:themeColor="text1"/>
              </w:rPr>
              <w:t>O</w:t>
            </w:r>
            <w:r w:rsidR="0004413E" w:rsidRPr="008279ED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279ED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279ED">
              <w:rPr>
                <w:b/>
              </w:rPr>
              <w:t xml:space="preserve"> *</w:t>
            </w:r>
          </w:p>
        </w:tc>
      </w:tr>
    </w:tbl>
    <w:p w:rsidR="0004413E" w:rsidRPr="008279ED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*</w:t>
      </w:r>
      <w:r w:rsidRPr="008279ED">
        <w:rPr>
          <w:sz w:val="22"/>
        </w:rPr>
        <w:t xml:space="preserve"> w przypadku egzaminu/zaliczenia na ocenę zakłada się, że ocena oznacza na poziomie</w:t>
      </w:r>
    </w:p>
    <w:p w:rsidR="00EA1A9B" w:rsidRPr="008279E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Bardzo dobry (5,0)</w:t>
      </w:r>
      <w:r w:rsidRPr="008279ED">
        <w:rPr>
          <w:sz w:val="22"/>
        </w:rPr>
        <w:t xml:space="preserve"> - zakładane efekty uczenia się zostały osiągnięte i znacznym stopniu przekraczają wymagany poziom </w:t>
      </w:r>
    </w:p>
    <w:p w:rsidR="00EA1A9B" w:rsidRPr="008279E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Ponad dobry (4,5)</w:t>
      </w:r>
      <w:r w:rsidRPr="008279ED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8279E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Dobry (4,0)</w:t>
      </w:r>
      <w:r w:rsidRPr="008279ED">
        <w:rPr>
          <w:sz w:val="22"/>
        </w:rPr>
        <w:t xml:space="preserve"> – zakładane efekty uczenia się zostały osiągnięte na wymaganym poziomie </w:t>
      </w:r>
    </w:p>
    <w:p w:rsidR="0004413E" w:rsidRPr="008279E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Dość dobry (3,5)</w:t>
      </w:r>
      <w:r w:rsidRPr="008279ED">
        <w:rPr>
          <w:sz w:val="22"/>
        </w:rPr>
        <w:t xml:space="preserve"> – zakładane efekty uczenia się zostały osiągnięte na średnim wymaganym poziomie </w:t>
      </w:r>
    </w:p>
    <w:p w:rsidR="0004413E" w:rsidRPr="008279E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Dostateczny (3,0)</w:t>
      </w:r>
      <w:r w:rsidRPr="008279ED">
        <w:rPr>
          <w:sz w:val="22"/>
        </w:rPr>
        <w:t xml:space="preserve"> - zakładane efekty uczenia się zostały osiągnięte na minimalnym wymaganym poziomie </w:t>
      </w:r>
    </w:p>
    <w:p w:rsidR="008050C4" w:rsidRPr="008279ED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8279ED">
        <w:rPr>
          <w:b/>
          <w:sz w:val="22"/>
        </w:rPr>
        <w:t>Niedostateczny (2,0)</w:t>
      </w:r>
      <w:r w:rsidRPr="008279ED">
        <w:rPr>
          <w:sz w:val="22"/>
        </w:rPr>
        <w:t xml:space="preserve"> – zakładane efekty uczenia się nie zostały uzyskane. </w:t>
      </w:r>
    </w:p>
    <w:p w:rsidR="00AD79ED" w:rsidRPr="0082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AD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992B62" w:rsidRDefault="00992B6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992B62" w:rsidRDefault="00992B6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992B62" w:rsidRPr="00AD79ED" w:rsidRDefault="00992B62" w:rsidP="00992B6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D79ED">
        <w:rPr>
          <w:rFonts w:eastAsia="Calibri"/>
          <w:b/>
          <w:sz w:val="28"/>
          <w:lang w:eastAsia="en-US"/>
        </w:rPr>
        <w:lastRenderedPageBreak/>
        <w:t>Karta przedmiotu</w:t>
      </w:r>
    </w:p>
    <w:p w:rsidR="00992B62" w:rsidRPr="00AD79ED" w:rsidRDefault="00992B62" w:rsidP="00992B6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D79ED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992B62" w:rsidRPr="00AD79ED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992B62" w:rsidRPr="00AD79ED" w:rsidTr="00FB6F70">
        <w:tc>
          <w:tcPr>
            <w:tcW w:w="9748" w:type="dxa"/>
            <w:gridSpan w:val="5"/>
            <w:shd w:val="clear" w:color="auto" w:fill="auto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D79ED">
              <w:rPr>
                <w:rFonts w:eastAsia="Calibri"/>
                <w:sz w:val="22"/>
                <w:lang w:eastAsia="en-US"/>
              </w:rPr>
              <w:t xml:space="preserve"> </w:t>
            </w:r>
            <w:r w:rsidRPr="00AD79ED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Zakład Balneoklimatologii i Odnowy Biologicznej</w:t>
            </w:r>
          </w:p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Wydział Nauk o Zdrowiu w Katowicach, Śląski Uniwersytet Medyczny w Katowicach</w:t>
            </w:r>
          </w:p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40-752 Katowice, ul Medyków 12, tel.+48 32 208 87 12 sekretariat</w:t>
            </w:r>
          </w:p>
        </w:tc>
      </w:tr>
      <w:tr w:rsidR="00992B62" w:rsidRPr="00AD79ED" w:rsidTr="00FB6F70">
        <w:tc>
          <w:tcPr>
            <w:tcW w:w="9748" w:type="dxa"/>
            <w:gridSpan w:val="5"/>
            <w:shd w:val="clear" w:color="auto" w:fill="auto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992B62" w:rsidRPr="00B25424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dr n. o zdrowiu Iwona Nowakowska</w:t>
            </w:r>
          </w:p>
        </w:tc>
      </w:tr>
      <w:tr w:rsidR="00992B62" w:rsidRPr="00AD79ED" w:rsidTr="00FB6F70">
        <w:tc>
          <w:tcPr>
            <w:tcW w:w="9748" w:type="dxa"/>
            <w:gridSpan w:val="5"/>
            <w:shd w:val="clear" w:color="auto" w:fill="auto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992B62" w:rsidRPr="00B25424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Znajomość zagadnień z zakresu anatomii, fizjologii i patologii,</w:t>
            </w:r>
            <w:r>
              <w:rPr>
                <w:rFonts w:eastAsia="Calibri"/>
                <w:sz w:val="22"/>
                <w:lang w:eastAsia="en-US"/>
              </w:rPr>
              <w:t xml:space="preserve"> oraz uzyskanie umiejętno</w:t>
            </w:r>
            <w:r w:rsidRPr="00B25424">
              <w:rPr>
                <w:rFonts w:eastAsia="Calibri"/>
                <w:sz w:val="22"/>
                <w:lang w:eastAsia="en-US"/>
              </w:rPr>
              <w:t>ści z powyższych modułów; umiejętność komunikacji z pacjentką i jej rodziną.</w:t>
            </w:r>
          </w:p>
        </w:tc>
      </w:tr>
      <w:tr w:rsidR="00992B62" w:rsidRPr="00AD79ED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992B62" w:rsidRPr="00AD79ED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92B62" w:rsidRPr="00B25424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Prezentacje multimedialne, plansze i modele anatomiczne, atlasy</w:t>
            </w:r>
          </w:p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i modele multime</w:t>
            </w:r>
            <w:r>
              <w:rPr>
                <w:rFonts w:eastAsia="Calibri"/>
                <w:sz w:val="22"/>
                <w:lang w:eastAsia="en-US"/>
              </w:rPr>
              <w:t>dialne</w:t>
            </w:r>
          </w:p>
        </w:tc>
      </w:tr>
      <w:tr w:rsidR="00992B62" w:rsidRPr="00AD79ED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92B62" w:rsidRPr="00B25424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Oddział Położniczo-Ginekologiczny w UCK SUM w Katowicach</w:t>
            </w:r>
          </w:p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oraz Centrum Dydaktyczne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992B62" w:rsidRPr="00AD79ED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 xml:space="preserve">Zakład Jednostki – pok. </w:t>
            </w:r>
            <w:r>
              <w:rPr>
                <w:rFonts w:eastAsia="Calibri"/>
                <w:sz w:val="22"/>
                <w:lang w:eastAsia="en-US"/>
              </w:rPr>
              <w:t>513 – 5</w:t>
            </w:r>
            <w:r w:rsidRPr="00B25424">
              <w:rPr>
                <w:rFonts w:eastAsia="Calibri"/>
                <w:sz w:val="22"/>
                <w:lang w:eastAsia="en-US"/>
              </w:rPr>
              <w:t xml:space="preserve"> piętro</w:t>
            </w:r>
          </w:p>
        </w:tc>
      </w:tr>
      <w:tr w:rsidR="00992B62" w:rsidRPr="00AD79ED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D79E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D79ED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1" w:name="_GoBack"/>
            <w:r w:rsidRPr="00992B6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1"/>
            <w:r w:rsidRPr="00AD79ED">
              <w:rPr>
                <w:rFonts w:eastAsia="Calibri"/>
                <w:sz w:val="22"/>
                <w:lang w:eastAsia="en-US"/>
              </w:rPr>
              <w:t xml:space="preserve">/ </w:t>
            </w:r>
            <w:r w:rsidRPr="00992B6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D79ED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podstawowe jednostki i zespoły chorobowe w stopniu umożliwiającym racjonalne stosowanie środków fizjoterapii i planowanie procesu rehabilitacji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D.W3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zasady gromadzenia wywiadu ginekologiczno-położniczego w celu planowania i realizacji procesu rehabilitacji w chorobach wewnętrznych u kobiet chorych ginekologicznie, ciężarnych, rodzących oraz położnic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 xml:space="preserve">D.W3 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i potrafi scharakteryzować fizjologiczny przebieg ciąży, porodu i połogu - zapłodnienie, czas trwania ciąży, poszczególne trymestry ciąży, początek i przebieg porodu (I,II,III i IV okres), połóg wczesny i późny, fizjologiczne zmiany w organizmie ciężarnej i położnicy, przebieg laktacji i zalety karmienia naturalnego.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 xml:space="preserve">D.W3.; D.W11 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Zna i potrafi scharakteryzować wybrane stany chorobowe (patologie) wikłające przebieg ciąży, porodu i połogu: nadciśnienie tętnicze, cukrzyca, poród przedwczesny, poronienie, patologie łożyska, brak postępu porodu, zakażenia połogowe, zaburzenia laktacji.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 xml:space="preserve">D.W3.; D.W11 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 xml:space="preserve">Zna i potrafi scharakteryzować wybrane jednostki chorobowe w ginekologii - </w:t>
            </w:r>
            <w:proofErr w:type="spellStart"/>
            <w:r w:rsidRPr="00D6672E">
              <w:rPr>
                <w:rFonts w:eastAsia="Calibri"/>
                <w:sz w:val="22"/>
              </w:rPr>
              <w:t>endometrioza</w:t>
            </w:r>
            <w:proofErr w:type="spellEnd"/>
            <w:r w:rsidRPr="00D6672E">
              <w:rPr>
                <w:rFonts w:eastAsia="Calibri"/>
                <w:sz w:val="22"/>
              </w:rPr>
              <w:t>, PID, infekcje przenoszone drogą płciową, zaburzenia statyki narządu płciowego), niepłodność z uwzględnieniem czynników ryzyka oraz metod leczenia.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D.W3.; D.W11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i potrafi scharakteryzować choroby nowotworowe narządu rodnego z uwzględnieniem profilaktyki, objawów i metod leczenia.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D.W3.; D.W11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Potrafi dobrać i przeprowadzić</w:t>
            </w:r>
            <w:r>
              <w:rPr>
                <w:rFonts w:eastAsia="Calibri"/>
                <w:sz w:val="22"/>
              </w:rPr>
              <w:t xml:space="preserve">  ćwiczenia i trening medyczny </w:t>
            </w:r>
            <w:r w:rsidRPr="00D6672E">
              <w:rPr>
                <w:rFonts w:eastAsia="Calibri"/>
                <w:sz w:val="22"/>
              </w:rPr>
              <w:t>(z uwzględnieniem instruktażu do ćwiczeń domowych) biorąc pod uwagę wiek i stan zdrowia kobie</w:t>
            </w:r>
            <w:r>
              <w:rPr>
                <w:rFonts w:eastAsia="Calibri"/>
                <w:sz w:val="22"/>
              </w:rPr>
              <w:t>ty, nietrzymanie moczu, zaburze</w:t>
            </w:r>
            <w:r w:rsidRPr="00D6672E">
              <w:rPr>
                <w:rFonts w:eastAsia="Calibri"/>
                <w:sz w:val="22"/>
              </w:rPr>
              <w:t>nia statyki narządu rodnego, z</w:t>
            </w:r>
            <w:r>
              <w:rPr>
                <w:rFonts w:eastAsia="Calibri"/>
                <w:sz w:val="22"/>
              </w:rPr>
              <w:t>miany atroficzne narządów płcio</w:t>
            </w:r>
            <w:r w:rsidRPr="00D6672E">
              <w:rPr>
                <w:rFonts w:eastAsia="Calibri"/>
                <w:sz w:val="22"/>
              </w:rPr>
              <w:t>wych, wegetatywne objawy menopauzalne (objawy wypadowe).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D.U7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lastRenderedPageBreak/>
              <w:t>P_U02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Potrafi planować, dobierać w zależności od stanu klinicznego i funkcjonalnego i wykonać zabiegi fizjoterapeutyczne u pacjentek z czynnościowymi chorobami naczyń, w</w:t>
            </w:r>
            <w:r>
              <w:rPr>
                <w:rFonts w:eastAsia="Calibri"/>
                <w:sz w:val="22"/>
              </w:rPr>
              <w:t>ynikających z</w:t>
            </w:r>
            <w:r w:rsidRPr="00D6672E">
              <w:rPr>
                <w:rFonts w:eastAsia="Calibri"/>
                <w:sz w:val="22"/>
              </w:rPr>
              <w:t xml:space="preserve"> przebieg</w:t>
            </w:r>
            <w:r>
              <w:rPr>
                <w:rFonts w:eastAsia="Calibri"/>
                <w:sz w:val="22"/>
              </w:rPr>
              <w:t>u</w:t>
            </w:r>
            <w:r w:rsidRPr="00D6672E">
              <w:rPr>
                <w:rFonts w:eastAsia="Calibri"/>
                <w:sz w:val="22"/>
              </w:rPr>
              <w:t xml:space="preserve"> ciąży, porodu oraz operacji ginekologicznych.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D.U7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Pr="00287B01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287B01">
              <w:rPr>
                <w:sz w:val="22"/>
              </w:rPr>
              <w:t>Potrafi przeprowadzić etapy uruchamiania pacjentki z uwzględnieniem specyfiki zabiegów operacyj</w:t>
            </w:r>
            <w:r>
              <w:rPr>
                <w:sz w:val="22"/>
              </w:rPr>
              <w:t xml:space="preserve">nych stosowanych w ginekologii </w:t>
            </w:r>
            <w:r w:rsidRPr="00287B01">
              <w:rPr>
                <w:sz w:val="22"/>
              </w:rPr>
              <w:t>i położnictwie, ze wskazaniem charakterystycznych powikłań pooperacyjnych i stanu zdrowia pacjentki.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D.U38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Pr="00287B01" w:rsidRDefault="00992B62" w:rsidP="00FB6F70">
            <w:pPr>
              <w:spacing w:after="0" w:line="100" w:lineRule="atLeast"/>
              <w:ind w:left="0" w:right="0" w:firstLine="0"/>
              <w:jc w:val="left"/>
              <w:rPr>
                <w:sz w:val="22"/>
              </w:rPr>
            </w:pPr>
            <w:r w:rsidRPr="00287B01">
              <w:rPr>
                <w:sz w:val="22"/>
              </w:rPr>
              <w:t xml:space="preserve">Potrafi </w:t>
            </w:r>
            <w:r>
              <w:rPr>
                <w:sz w:val="22"/>
              </w:rPr>
              <w:t xml:space="preserve">planować i </w:t>
            </w:r>
            <w:r w:rsidRPr="00287B01">
              <w:rPr>
                <w:sz w:val="22"/>
              </w:rPr>
              <w:t xml:space="preserve">dobierać zabiegi fizjoterapeutyczne </w:t>
            </w:r>
            <w:r>
              <w:rPr>
                <w:sz w:val="22"/>
              </w:rPr>
              <w:t>z uwzględnieniem stanu klinicznego i funkcjonalnego oraz wskazań i p-</w:t>
            </w:r>
            <w:r w:rsidRPr="00287B01">
              <w:rPr>
                <w:sz w:val="22"/>
              </w:rPr>
              <w:t xml:space="preserve">wskazań po </w:t>
            </w:r>
            <w:r>
              <w:rPr>
                <w:sz w:val="22"/>
              </w:rPr>
              <w:t xml:space="preserve">mastektomii, </w:t>
            </w:r>
            <w:r w:rsidRPr="00287B0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w przypadku upośledzenia funkcji kończyny górnej i obrzęku limfatycznego.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D.U46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Pr="00287B01" w:rsidRDefault="00992B62" w:rsidP="00FB6F70">
            <w:pPr>
              <w:spacing w:after="0" w:line="100" w:lineRule="atLeast"/>
              <w:ind w:left="0" w:right="0" w:firstLine="0"/>
              <w:jc w:val="left"/>
              <w:rPr>
                <w:sz w:val="22"/>
              </w:rPr>
            </w:pPr>
            <w:r w:rsidRPr="00287B01">
              <w:rPr>
                <w:sz w:val="22"/>
              </w:rPr>
              <w:t xml:space="preserve">Potrafi dyskutować z zespołem terapeutycznym i komunikować się </w:t>
            </w:r>
            <w:r>
              <w:rPr>
                <w:sz w:val="22"/>
              </w:rPr>
              <w:t xml:space="preserve"> z pacjentką oddziału ginekologiczno-położniczego o i jej rodziną.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D.U47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Jest gotów do dostrzegania i rozpoznawania własnych ograniczeń, dokonywania samooceny deficytów i potrzeb edukacyjnych.</w:t>
            </w:r>
            <w:r w:rsidRPr="00D6672E">
              <w:rPr>
                <w:rFonts w:eastAsia="Calibri"/>
                <w:sz w:val="22"/>
              </w:rPr>
              <w:tab/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 w:rsidRPr="00D6672E">
              <w:rPr>
                <w:rFonts w:eastAsia="Calibri"/>
                <w:sz w:val="22"/>
              </w:rPr>
              <w:t>OK_K05</w:t>
            </w:r>
          </w:p>
        </w:tc>
      </w:tr>
      <w:tr w:rsidR="00992B62" w:rsidRPr="00AD79ED" w:rsidTr="00FB6F70">
        <w:tc>
          <w:tcPr>
            <w:tcW w:w="1778" w:type="dxa"/>
            <w:shd w:val="clear" w:color="auto" w:fill="auto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2B62" w:rsidRDefault="00992B62" w:rsidP="00FB6F70">
            <w:pPr>
              <w:spacing w:after="0" w:line="100" w:lineRule="atLeast"/>
              <w:ind w:left="0" w:right="0" w:firstLine="0"/>
              <w:jc w:val="center"/>
            </w:pPr>
            <w:r w:rsidRPr="00D6672E">
              <w:rPr>
                <w:rFonts w:eastAsia="Calibri"/>
                <w:sz w:val="22"/>
              </w:rPr>
              <w:t>OK_K06</w:t>
            </w:r>
          </w:p>
        </w:tc>
      </w:tr>
      <w:tr w:rsidR="00992B62" w:rsidRPr="00AD79ED" w:rsidTr="00FB6F70">
        <w:tc>
          <w:tcPr>
            <w:tcW w:w="8695" w:type="dxa"/>
            <w:gridSpan w:val="4"/>
            <w:shd w:val="clear" w:color="auto" w:fill="D9D9D9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992B62" w:rsidRPr="00AD79ED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1. </w:t>
            </w:r>
            <w:r w:rsidRPr="00B25424">
              <w:rPr>
                <w:rFonts w:eastAsia="Calibri"/>
                <w:sz w:val="22"/>
                <w:lang w:eastAsia="en-US"/>
              </w:rPr>
              <w:t>Rola hormonów w życiu kobiety - rozwój płci, dojrzewanie, cy</w:t>
            </w:r>
            <w:r>
              <w:rPr>
                <w:rFonts w:eastAsia="Calibri"/>
                <w:sz w:val="22"/>
                <w:lang w:eastAsia="en-US"/>
              </w:rPr>
              <w:t>kl płciowy, menopauza, starość.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2. </w:t>
            </w:r>
            <w:r w:rsidRPr="00B25424">
              <w:rPr>
                <w:rFonts w:eastAsia="Calibri"/>
                <w:sz w:val="22"/>
                <w:lang w:eastAsia="en-US"/>
              </w:rPr>
              <w:t>Fizjologiczny p</w:t>
            </w:r>
            <w:r>
              <w:rPr>
                <w:rFonts w:eastAsia="Calibri"/>
                <w:sz w:val="22"/>
                <w:lang w:eastAsia="en-US"/>
              </w:rPr>
              <w:t>rzebieg ciąży, porodu i połogu.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3. </w:t>
            </w:r>
            <w:r w:rsidRPr="00B25424">
              <w:rPr>
                <w:rFonts w:eastAsia="Calibri"/>
                <w:sz w:val="22"/>
                <w:lang w:eastAsia="en-US"/>
              </w:rPr>
              <w:t>Wybrane jednostki pat</w:t>
            </w:r>
            <w:r>
              <w:rPr>
                <w:rFonts w:eastAsia="Calibri"/>
                <w:sz w:val="22"/>
                <w:lang w:eastAsia="en-US"/>
              </w:rPr>
              <w:t xml:space="preserve">ologii ciąży, porodu i połogu. 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4. </w:t>
            </w:r>
            <w:r w:rsidRPr="00B25424">
              <w:rPr>
                <w:rFonts w:eastAsia="Calibri"/>
                <w:sz w:val="22"/>
                <w:lang w:eastAsia="en-US"/>
              </w:rPr>
              <w:t>Zaburzenia ginekologiczne: niepłodność i bezpłodność, zaburzenia cyklu płciowego.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1. Anatomia czynnościowa</w:t>
            </w:r>
            <w:r>
              <w:rPr>
                <w:rFonts w:eastAsia="Calibri"/>
                <w:sz w:val="22"/>
                <w:lang w:eastAsia="en-US"/>
              </w:rPr>
              <w:t xml:space="preserve"> żeńskich narządów rozrodczych.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2. Specyfika zabiegów operacyjnych stosowanych w ginekologii i położnictwie. Zalecenia, wskazania, p-wskazania, grupy ryzyka. Pacjentka z chorobami współistniejącymi (choroby naczyń obwodowych, pacjentka po przeszczepie, pacjentka z niepełnosprawnościami.)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3. Nowotwory narządu rodnego i gruczołu piersiowego - profilaktyka, diagnostyka i leczenie</w:t>
            </w:r>
            <w:r>
              <w:rPr>
                <w:rFonts w:eastAsia="Calibri"/>
                <w:sz w:val="22"/>
                <w:lang w:eastAsia="en-US"/>
              </w:rPr>
              <w:t xml:space="preserve">. Analiza literatury naukowej. 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4. Wybrane jednostki chorobowe w ginekologii (</w:t>
            </w:r>
            <w:proofErr w:type="spellStart"/>
            <w:r w:rsidRPr="00B25424">
              <w:rPr>
                <w:rFonts w:eastAsia="Calibri"/>
                <w:sz w:val="22"/>
                <w:lang w:eastAsia="en-US"/>
              </w:rPr>
              <w:t>endometrioza</w:t>
            </w:r>
            <w:proofErr w:type="spellEnd"/>
            <w:r w:rsidRPr="00B25424">
              <w:rPr>
                <w:rFonts w:eastAsia="Calibri"/>
                <w:sz w:val="22"/>
                <w:lang w:eastAsia="en-US"/>
              </w:rPr>
              <w:t>, PID, choroby przenoszone drogą płciową, zaburzenia statyki narządu rodnego). Analiza literatury naukowej.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1. Wywiad ginekologiczno-położniczy – a</w:t>
            </w:r>
            <w:r>
              <w:rPr>
                <w:rFonts w:eastAsia="Calibri"/>
                <w:sz w:val="22"/>
                <w:lang w:eastAsia="en-US"/>
              </w:rPr>
              <w:t xml:space="preserve">naliza dokumentacji medycznej. 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992B62" w:rsidRPr="00AD79ED" w:rsidTr="00FB6F70">
        <w:tc>
          <w:tcPr>
            <w:tcW w:w="8695" w:type="dxa"/>
            <w:gridSpan w:val="4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2. Fizjologia i patologia ciąży, porodu i połogu – gromadzenie wywiad</w:t>
            </w:r>
            <w:r>
              <w:rPr>
                <w:rFonts w:eastAsia="Calibri"/>
                <w:sz w:val="22"/>
                <w:lang w:eastAsia="en-US"/>
              </w:rPr>
              <w:t xml:space="preserve">u położniczo-ginekologicznego. </w:t>
            </w:r>
          </w:p>
        </w:tc>
        <w:tc>
          <w:tcPr>
            <w:tcW w:w="1053" w:type="dxa"/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992B62" w:rsidRPr="00AD79ED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3. Nowotwory narządu rodnego i gruczołu piersiowego – metody leczenia i standardy opieki nad pacjentką - obserwacja pacjentki. Analiza wskazań i p-wskazań do fizjoterapii z uwzględnieniem czynników wysokiego ryzyka u pacjentek z chorobami współistniejącymi.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92B62" w:rsidRPr="00B25424" w:rsidRDefault="00992B62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992B62" w:rsidRPr="00AD79ED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992B62" w:rsidRPr="00AD79ED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Szukiewicz D (red): Fizjoterapia w ginekologii i położnictwie. PZWL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2012.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Kozłowska J.: „Rehabilitacja w ginekologii i położnictwie” AWF Kraków 2006.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Opala T.: „Ginekologia. Podręcznik dla położnych, pielęgniarek i fizjoterapeutów” PZWL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2004.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proofErr w:type="spellStart"/>
            <w:r w:rsidRPr="00B25424">
              <w:rPr>
                <w:rFonts w:eastAsia="Calibri"/>
                <w:color w:val="auto"/>
                <w:sz w:val="22"/>
              </w:rPr>
              <w:t>Bręborowicz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G: Ginekologia i położnictwo. Wrocław 2012.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Kozłowska J.: Rehabilitacja w położnictwie i ginekologii, AWF Kraków 2013.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 xml:space="preserve"> 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Pschyrembel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W (red): Praktyczne położnictwo z operacjami położniczymi. PZWL,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2007.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Troszyński M (red): Ćwiczenia położnicze. PZWL,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2009.</w:t>
            </w:r>
          </w:p>
          <w:p w:rsidR="00992B62" w:rsidRPr="00B25424" w:rsidRDefault="00992B62" w:rsidP="00992B62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Skałba P: Endokrynologia ginekologiczna, PZWL,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2003.</w:t>
            </w:r>
          </w:p>
        </w:tc>
      </w:tr>
      <w:tr w:rsidR="00992B62" w:rsidRPr="00AD79ED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992B62" w:rsidRPr="00AD79ED" w:rsidTr="00FB6F70">
        <w:tc>
          <w:tcPr>
            <w:tcW w:w="9748" w:type="dxa"/>
            <w:gridSpan w:val="5"/>
            <w:vAlign w:val="center"/>
          </w:tcPr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992B62" w:rsidRPr="00AD79ED" w:rsidRDefault="00992B62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</w:t>
            </w:r>
            <w:r>
              <w:rPr>
                <w:rFonts w:eastAsia="Calibri"/>
                <w:sz w:val="22"/>
                <w:lang w:eastAsia="en-US"/>
              </w:rPr>
              <w:t>zczone w regulaminie przedmiotu.</w:t>
            </w:r>
          </w:p>
        </w:tc>
      </w:tr>
    </w:tbl>
    <w:p w:rsidR="00992B62" w:rsidRPr="008279ED" w:rsidRDefault="00992B62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AD79ED" w:rsidRPr="0082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AD79ED" w:rsidRPr="008279ED" w:rsidSect="0026462C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17F" w:rsidRDefault="00E1417F">
      <w:pPr>
        <w:spacing w:after="0" w:line="240" w:lineRule="auto"/>
      </w:pPr>
      <w:r>
        <w:separator/>
      </w:r>
    </w:p>
  </w:endnote>
  <w:endnote w:type="continuationSeparator" w:id="0">
    <w:p w:rsidR="00E1417F" w:rsidRDefault="00E14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7686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7686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A374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7686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17F" w:rsidRDefault="00E1417F">
      <w:pPr>
        <w:spacing w:after="0" w:line="240" w:lineRule="auto"/>
      </w:pPr>
      <w:r>
        <w:separator/>
      </w:r>
    </w:p>
  </w:footnote>
  <w:footnote w:type="continuationSeparator" w:id="0">
    <w:p w:rsidR="00E1417F" w:rsidRDefault="00E14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C65681"/>
    <w:multiLevelType w:val="hybridMultilevel"/>
    <w:tmpl w:val="A81CE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2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70905"/>
    <w:rsid w:val="000753EB"/>
    <w:rsid w:val="000B3EC3"/>
    <w:rsid w:val="001032AA"/>
    <w:rsid w:val="00123FA0"/>
    <w:rsid w:val="001A76A8"/>
    <w:rsid w:val="001B5F58"/>
    <w:rsid w:val="00220552"/>
    <w:rsid w:val="0024613B"/>
    <w:rsid w:val="00253BBF"/>
    <w:rsid w:val="0025733E"/>
    <w:rsid w:val="0026462C"/>
    <w:rsid w:val="00271C2F"/>
    <w:rsid w:val="002C7CF2"/>
    <w:rsid w:val="00306823"/>
    <w:rsid w:val="003D15C3"/>
    <w:rsid w:val="00461508"/>
    <w:rsid w:val="005531F9"/>
    <w:rsid w:val="005B10E8"/>
    <w:rsid w:val="006A38B8"/>
    <w:rsid w:val="006C7B68"/>
    <w:rsid w:val="006D33EF"/>
    <w:rsid w:val="0070431A"/>
    <w:rsid w:val="007116E8"/>
    <w:rsid w:val="007C4C5D"/>
    <w:rsid w:val="008050C4"/>
    <w:rsid w:val="008075F0"/>
    <w:rsid w:val="008279ED"/>
    <w:rsid w:val="009321DB"/>
    <w:rsid w:val="00966954"/>
    <w:rsid w:val="0097686C"/>
    <w:rsid w:val="00992B62"/>
    <w:rsid w:val="009C2789"/>
    <w:rsid w:val="00A27B68"/>
    <w:rsid w:val="00A60172"/>
    <w:rsid w:val="00AA6496"/>
    <w:rsid w:val="00AB5358"/>
    <w:rsid w:val="00AD61BD"/>
    <w:rsid w:val="00AD79ED"/>
    <w:rsid w:val="00B25424"/>
    <w:rsid w:val="00B56D8E"/>
    <w:rsid w:val="00BA28F6"/>
    <w:rsid w:val="00BA5CF6"/>
    <w:rsid w:val="00C2600D"/>
    <w:rsid w:val="00CA3749"/>
    <w:rsid w:val="00CC3495"/>
    <w:rsid w:val="00CC5EAF"/>
    <w:rsid w:val="00D15D88"/>
    <w:rsid w:val="00D37A27"/>
    <w:rsid w:val="00D409F4"/>
    <w:rsid w:val="00DB6E5D"/>
    <w:rsid w:val="00DD1181"/>
    <w:rsid w:val="00DE484C"/>
    <w:rsid w:val="00E1417F"/>
    <w:rsid w:val="00E4708E"/>
    <w:rsid w:val="00E95559"/>
    <w:rsid w:val="00EA1A9B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9492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2024-02-24T14:50:00Z</dcterms:created>
  <dcterms:modified xsi:type="dcterms:W3CDTF">2024-08-21T12:19:00Z</dcterms:modified>
</cp:coreProperties>
</file>