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6A82E" w14:textId="47EF1DE0" w:rsidR="00F16352" w:rsidRPr="00372FF3" w:rsidRDefault="00655A57" w:rsidP="001B3CDD">
      <w:pPr>
        <w:spacing w:after="0" w:line="240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372FF3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050EAC07" w14:textId="77777777" w:rsidR="00F16352" w:rsidRPr="00372FF3" w:rsidRDefault="00F16352" w:rsidP="001B3CDD">
      <w:pPr>
        <w:spacing w:after="0" w:line="240" w:lineRule="auto"/>
        <w:ind w:left="10" w:right="944"/>
        <w:jc w:val="right"/>
        <w:rPr>
          <w:rFonts w:cs="Times New Roman"/>
          <w:sz w:val="22"/>
          <w:szCs w:val="22"/>
        </w:rPr>
      </w:pPr>
    </w:p>
    <w:p w14:paraId="08476EA8" w14:textId="77777777" w:rsidR="00372FF3" w:rsidRDefault="00A255FA" w:rsidP="00372FF3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372FF3">
        <w:rPr>
          <w:rFonts w:cs="Times New Roman"/>
          <w:sz w:val="22"/>
          <w:szCs w:val="22"/>
        </w:rPr>
        <w:t xml:space="preserve">Karta przedmiotu </w:t>
      </w:r>
      <w:r w:rsidR="00465574" w:rsidRPr="00372FF3">
        <w:rPr>
          <w:rFonts w:cs="Times New Roman"/>
          <w:sz w:val="22"/>
          <w:szCs w:val="22"/>
        </w:rPr>
        <w:t>–</w:t>
      </w:r>
      <w:r w:rsidR="00EA6A67" w:rsidRPr="00372FF3">
        <w:rPr>
          <w:rFonts w:cs="Times New Roman"/>
          <w:sz w:val="22"/>
          <w:szCs w:val="22"/>
        </w:rPr>
        <w:t xml:space="preserve"> </w:t>
      </w:r>
      <w:r w:rsidR="00465574" w:rsidRPr="00372FF3">
        <w:rPr>
          <w:rFonts w:cs="Times New Roman"/>
          <w:sz w:val="22"/>
          <w:szCs w:val="22"/>
        </w:rPr>
        <w:t xml:space="preserve">praktyka zawodowa </w:t>
      </w:r>
    </w:p>
    <w:p w14:paraId="1EEA4EAE" w14:textId="7F05457B" w:rsidR="00F16352" w:rsidRPr="00372FF3" w:rsidRDefault="00A255FA" w:rsidP="00372FF3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372FF3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4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4"/>
        <w:gridCol w:w="709"/>
        <w:gridCol w:w="141"/>
        <w:gridCol w:w="2123"/>
        <w:gridCol w:w="2273"/>
        <w:gridCol w:w="1132"/>
      </w:tblGrid>
      <w:tr w:rsidR="00F16352" w:rsidRPr="00372FF3" w14:paraId="2D455C94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1DD91D4A" w14:textId="77777777" w:rsidR="00F16352" w:rsidRPr="00372FF3" w:rsidRDefault="00A255FA" w:rsidP="001B3CDD">
            <w:pPr>
              <w:spacing w:after="0" w:line="240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372FF3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372FF3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372FF3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F16352" w:rsidRPr="00372FF3" w14:paraId="633EDB31" w14:textId="77777777" w:rsidTr="00372FF3">
        <w:trPr>
          <w:trHeight w:val="485"/>
          <w:jc w:val="center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58FD522F" w14:textId="77777777" w:rsidR="00F16352" w:rsidRPr="00372FF3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372FF3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372FF3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372FF3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372FF3">
              <w:rPr>
                <w:rFonts w:cs="Times New Roman"/>
                <w:sz w:val="22"/>
                <w:szCs w:val="22"/>
              </w:rPr>
              <w:t xml:space="preserve"> Położnictwo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6CCAA" w14:textId="77777777" w:rsidR="00F16352" w:rsidRPr="00372FF3" w:rsidRDefault="00A255FA" w:rsidP="001B3CDD">
            <w:pPr>
              <w:numPr>
                <w:ilvl w:val="0"/>
                <w:numId w:val="2"/>
              </w:numPr>
              <w:spacing w:after="0" w:line="240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372FF3">
              <w:rPr>
                <w:rFonts w:cs="Times New Roman"/>
                <w:sz w:val="22"/>
                <w:szCs w:val="22"/>
              </w:rPr>
              <w:t xml:space="preserve"> II stopień / profil </w:t>
            </w:r>
            <w:proofErr w:type="spellStart"/>
            <w:r w:rsidRPr="00372FF3">
              <w:rPr>
                <w:rFonts w:cs="Times New Roman"/>
                <w:sz w:val="22"/>
                <w:szCs w:val="22"/>
              </w:rPr>
              <w:t>ogólnoakademicki</w:t>
            </w:r>
            <w:proofErr w:type="spellEnd"/>
          </w:p>
          <w:p w14:paraId="7C264555" w14:textId="6BFD523A" w:rsidR="00F16352" w:rsidRPr="00372FF3" w:rsidRDefault="00A255FA" w:rsidP="001B3CDD">
            <w:pPr>
              <w:numPr>
                <w:ilvl w:val="0"/>
                <w:numId w:val="1"/>
              </w:numPr>
              <w:spacing w:after="0" w:line="240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372FF3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372FF3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372FF3">
              <w:rPr>
                <w:rFonts w:cs="Times New Roman"/>
                <w:sz w:val="22"/>
                <w:szCs w:val="22"/>
              </w:rPr>
              <w:t xml:space="preserve">  </w:t>
            </w:r>
            <w:r w:rsidR="00324101" w:rsidRPr="00372FF3">
              <w:rPr>
                <w:rFonts w:cs="Times New Roman"/>
                <w:sz w:val="22"/>
                <w:szCs w:val="22"/>
              </w:rPr>
              <w:t xml:space="preserve">studia </w:t>
            </w:r>
            <w:r w:rsidRPr="00372FF3">
              <w:rPr>
                <w:rFonts w:cs="Times New Roman"/>
                <w:sz w:val="22"/>
                <w:szCs w:val="22"/>
              </w:rPr>
              <w:t>stacjonarne</w:t>
            </w:r>
          </w:p>
        </w:tc>
      </w:tr>
      <w:tr w:rsidR="00F16352" w:rsidRPr="00372FF3" w14:paraId="4C6E516D" w14:textId="77777777" w:rsidTr="00465574">
        <w:trPr>
          <w:trHeight w:val="241"/>
          <w:jc w:val="center"/>
        </w:trPr>
        <w:tc>
          <w:tcPr>
            <w:tcW w:w="3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7D6BD6D1" w14:textId="463C13DA" w:rsidR="00F16352" w:rsidRPr="00372FF3" w:rsidRDefault="00A255FA" w:rsidP="00BE2D85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372FF3">
              <w:rPr>
                <w:rFonts w:cs="Times New Roman"/>
                <w:sz w:val="22"/>
                <w:szCs w:val="22"/>
              </w:rPr>
              <w:t xml:space="preserve"> I</w:t>
            </w:r>
            <w:r w:rsidR="00372FF3">
              <w:rPr>
                <w:rFonts w:cs="Times New Roman"/>
                <w:sz w:val="22"/>
                <w:szCs w:val="22"/>
              </w:rPr>
              <w:t>/</w:t>
            </w:r>
            <w:r w:rsidR="006F07EF" w:rsidRPr="00372FF3">
              <w:rPr>
                <w:rFonts w:cs="Times New Roman"/>
                <w:sz w:val="22"/>
                <w:szCs w:val="22"/>
              </w:rPr>
              <w:t>cykl 202</w:t>
            </w:r>
            <w:r w:rsidR="00BE2D85" w:rsidRPr="00372FF3">
              <w:rPr>
                <w:rFonts w:cs="Times New Roman"/>
                <w:sz w:val="22"/>
                <w:szCs w:val="22"/>
              </w:rPr>
              <w:t>4</w:t>
            </w:r>
            <w:r w:rsidR="0030506E" w:rsidRPr="00372FF3">
              <w:rPr>
                <w:rFonts w:cs="Times New Roman"/>
                <w:sz w:val="22"/>
                <w:szCs w:val="22"/>
              </w:rPr>
              <w:t>-</w:t>
            </w:r>
            <w:r w:rsidR="006F07EF" w:rsidRPr="00372FF3">
              <w:rPr>
                <w:rFonts w:cs="Times New Roman"/>
                <w:sz w:val="22"/>
                <w:szCs w:val="22"/>
              </w:rPr>
              <w:t>202</w:t>
            </w:r>
            <w:r w:rsidR="00BE2D85" w:rsidRPr="00372FF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D1CFEF9" w14:textId="05270F40" w:rsidR="00F16352" w:rsidRPr="00372FF3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372FF3">
              <w:rPr>
                <w:rFonts w:cs="Times New Roman"/>
                <w:sz w:val="22"/>
                <w:szCs w:val="22"/>
              </w:rPr>
              <w:t>I,II</w:t>
            </w:r>
          </w:p>
        </w:tc>
      </w:tr>
      <w:tr w:rsidR="00F16352" w:rsidRPr="00372FF3" w14:paraId="2CD46998" w14:textId="77777777">
        <w:trPr>
          <w:trHeight w:val="248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F369A90" w14:textId="77777777" w:rsidR="00F16352" w:rsidRPr="00372FF3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372FF3">
              <w:rPr>
                <w:rFonts w:cs="Times New Roman"/>
                <w:sz w:val="22"/>
                <w:szCs w:val="22"/>
              </w:rPr>
              <w:t xml:space="preserve"> Opieka specjalistyczna nad kobietą i jej rodziną w ujęciu interdyscyplinarnym</w:t>
            </w:r>
          </w:p>
        </w:tc>
      </w:tr>
      <w:tr w:rsidR="00F16352" w:rsidRPr="00372FF3" w14:paraId="1A51F4B9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BE3B98B" w14:textId="77777777" w:rsidR="00F16352" w:rsidRPr="00372FF3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372FF3">
              <w:rPr>
                <w:rFonts w:cs="Times New Roman"/>
                <w:sz w:val="22"/>
                <w:szCs w:val="22"/>
              </w:rPr>
              <w:t xml:space="preserve"> Obowiązkowy</w:t>
            </w:r>
          </w:p>
        </w:tc>
      </w:tr>
      <w:tr w:rsidR="00F16352" w:rsidRPr="00372FF3" w14:paraId="3D6A8263" w14:textId="77777777">
        <w:trPr>
          <w:trHeight w:val="3230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55260DFC" w14:textId="652ECD07" w:rsidR="00F16352" w:rsidRPr="00372FF3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8. Cel/-e przedmiotu  </w:t>
            </w:r>
          </w:p>
          <w:p w14:paraId="55FB1DF6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Doskonalenie umiejętności planowania i sprawowania opieki w zakresie położniczej opieki specjalistycznej u zdrowej kobiety ciężarnej, rodzącej i położnicy oraz u kobiety, której stan zdrowia jest powikłany zaburzeniami położniczymi, internistycznymi, onkologicznymi oraz emocjonalnymi i psychicznymi.</w:t>
            </w:r>
          </w:p>
          <w:p w14:paraId="1DB94A66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Przygotowanie studenta do postępowania profilaktycznego i edukacyjnego, wdrażania programów zdrowotnych i organizacji badań profilaktycznych w zakresie zdrowia kobiety i jej partnera planującej ciążę, ciężarnej i położnicy oraz kobiety/dziewczyny z zaburzeniami ginekologicznymi i onkologicznymi.</w:t>
            </w:r>
          </w:p>
          <w:p w14:paraId="6867F156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Przygotowanie studenta do działań edukacyjnych w zakresie zdrowia seksualnego, sprawowania specjalistycznej opieki nad kobietą i dzieckiem w przypadku molestowania seksualnego i gwałtu.</w:t>
            </w:r>
          </w:p>
          <w:p w14:paraId="76A2589D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Przygotowanie studenta do sprawowania specjalistycznej opieki nad dziewczynką/kobietą w zakresie: badań diagnostycznych oraz działań opiekuńczo-pielęgnacyjno-leczniczych dotyczących zaburzeń ginekologicznych, zabiegów i operacji ginekologicznych, onkologii ginekologicznej</w:t>
            </w:r>
          </w:p>
          <w:p w14:paraId="4D2E8036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(w tym opieka terminalna).</w:t>
            </w:r>
          </w:p>
          <w:p w14:paraId="0BF97727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 xml:space="preserve">Przygotowanie studenta do sprawowania specjalistycznej opieki nad kobietą i jej rodziną </w:t>
            </w:r>
          </w:p>
          <w:p w14:paraId="7C5CDD58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w zaburzeniach prokreacji.</w:t>
            </w:r>
          </w:p>
          <w:p w14:paraId="11A4726E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Dostarczenie najnowszej wiedzy z zakresu opieki specjalistycznej w neonatologii.</w:t>
            </w:r>
          </w:p>
          <w:p w14:paraId="6CC6AA5E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Doskonalenie umiejętności w zakresie sprawowania opieki specjalistycznej nad noworodkiem.</w:t>
            </w:r>
          </w:p>
          <w:p w14:paraId="1C82D222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 xml:space="preserve">Przygotowanie studenta do sprawowania specjalistycznej opieki położniczo-ginekologicznej </w:t>
            </w:r>
          </w:p>
          <w:p w14:paraId="61C43119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 xml:space="preserve">w środowisku zamieszkania kobiety i jej rodziny. </w:t>
            </w:r>
          </w:p>
          <w:p w14:paraId="3E9C889D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 xml:space="preserve">Przygotowanie studenta do wykonywania badań diagnostycznych inwazyjnych i nieinwazyjnych </w:t>
            </w:r>
          </w:p>
          <w:p w14:paraId="1631C488" w14:textId="77777777" w:rsidR="00B53861" w:rsidRPr="00B53861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w położnictwie, neonatologii i ginekologii oraz doskonalenie umiejętności analizy uzyskanych wyników badań.</w:t>
            </w:r>
          </w:p>
          <w:p w14:paraId="609A8025" w14:textId="0E4D528D" w:rsidR="00372FF3" w:rsidRDefault="00B53861" w:rsidP="00B53861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53861">
              <w:rPr>
                <w:rFonts w:cs="Times New Roman"/>
                <w:sz w:val="22"/>
                <w:szCs w:val="22"/>
              </w:rPr>
              <w:t>•</w:t>
            </w:r>
            <w:r w:rsidRPr="00B53861">
              <w:rPr>
                <w:rFonts w:cs="Times New Roman"/>
                <w:sz w:val="22"/>
                <w:szCs w:val="22"/>
              </w:rPr>
              <w:tab/>
              <w:t>Kształtowanie postawy zgodnej z etyką zawodową.</w:t>
            </w:r>
          </w:p>
          <w:p w14:paraId="7F6BBDE5" w14:textId="77777777" w:rsidR="00372FF3" w:rsidRPr="00372FF3" w:rsidRDefault="00372FF3" w:rsidP="00372FF3">
            <w:pPr>
              <w:spacing w:after="13" w:line="259" w:lineRule="auto"/>
              <w:ind w:left="28"/>
              <w:rPr>
                <w:sz w:val="22"/>
                <w:szCs w:val="22"/>
              </w:rPr>
            </w:pPr>
            <w:r w:rsidRPr="00372FF3"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 w:rsidRPr="00372FF3">
              <w:rPr>
                <w:sz w:val="22"/>
                <w:szCs w:val="22"/>
              </w:rPr>
              <w:t xml:space="preserve">zawartych w </w:t>
            </w:r>
            <w:r w:rsidRPr="00372FF3">
              <w:rPr>
                <w:i/>
                <w:sz w:val="22"/>
                <w:szCs w:val="22"/>
              </w:rPr>
              <w:t>(właściwe podkreślić)</w:t>
            </w:r>
            <w:r w:rsidRPr="00372FF3">
              <w:rPr>
                <w:sz w:val="22"/>
                <w:szCs w:val="22"/>
              </w:rPr>
              <w:t xml:space="preserve">: </w:t>
            </w:r>
          </w:p>
          <w:p w14:paraId="6360FF56" w14:textId="77777777" w:rsidR="00372FF3" w:rsidRPr="00372FF3" w:rsidRDefault="00372FF3" w:rsidP="00372FF3">
            <w:pPr>
              <w:spacing w:after="15" w:line="263" w:lineRule="auto"/>
              <w:ind w:left="28" w:right="296"/>
              <w:rPr>
                <w:bCs/>
                <w:sz w:val="22"/>
                <w:szCs w:val="22"/>
              </w:rPr>
            </w:pPr>
            <w:r w:rsidRPr="00372FF3">
              <w:rPr>
                <w:sz w:val="22"/>
                <w:szCs w:val="22"/>
                <w:u w:val="single"/>
              </w:rPr>
              <w:t>standardach kształcenia (Rozporządzenie Ministra Nauki i Szkolnictwa Wyższego)/</w:t>
            </w:r>
            <w:r w:rsidRPr="00372FF3">
              <w:rPr>
                <w:sz w:val="22"/>
                <w:szCs w:val="22"/>
              </w:rPr>
              <w:t xml:space="preserve">Uchwale Senatu SUM </w:t>
            </w:r>
            <w:r w:rsidRPr="00372FF3"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  <w:r w:rsidRPr="00372FF3">
              <w:rPr>
                <w:sz w:val="22"/>
                <w:szCs w:val="22"/>
              </w:rPr>
              <w:t xml:space="preserve"> </w:t>
            </w:r>
          </w:p>
          <w:p w14:paraId="3F88910A" w14:textId="12722E94" w:rsidR="006F07EF" w:rsidRPr="00372FF3" w:rsidRDefault="00A255FA" w:rsidP="001B3CDD">
            <w:pPr>
              <w:spacing w:after="0" w:line="240" w:lineRule="auto"/>
              <w:ind w:left="28" w:right="296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w zakresie wiedzy student zna i rozumie: B.W20., B.W21., B.W22., B.W23., B.W24., B.W25., B.W26., B.W27., B.W28., B.W29., B.W30., B.W31., B.W32., B.W33., B.W34., B.W35., B.W36., B.W37., B.W38., B.W39., B.W40., B.W41., B.W42 </w:t>
            </w:r>
          </w:p>
          <w:p w14:paraId="5BE00D49" w14:textId="154DCFEF" w:rsidR="00F16352" w:rsidRPr="00372FF3" w:rsidRDefault="00A255FA" w:rsidP="001B3CDD">
            <w:pPr>
              <w:spacing w:after="0" w:line="240" w:lineRule="auto"/>
              <w:ind w:left="28" w:right="296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w zakresie umiejętności student potrafi: B.U22., B.U23., B.U24., B.U25., B.U26., B.U27., B.U28., B.U29., B.U30., B.U31., B.U32., B.U33., B.U34., B.U35., B.U36., B.U37., B.U38., B.U39. w zakresie kompetencji społecznych student: Punkt 1.3. ogólnych standardów kształcenia </w:t>
            </w:r>
            <w:r w:rsidR="00372FF3" w:rsidRPr="00372FF3">
              <w:rPr>
                <w:rFonts w:cs="Times New Roman"/>
                <w:sz w:val="22"/>
                <w:szCs w:val="22"/>
              </w:rPr>
              <w:t>przygotowujących</w:t>
            </w:r>
            <w:r w:rsidRPr="00372FF3">
              <w:rPr>
                <w:rFonts w:cs="Times New Roman"/>
                <w:sz w:val="22"/>
                <w:szCs w:val="22"/>
              </w:rPr>
              <w:t xml:space="preserve"> do wykonywania zawodu </w:t>
            </w:r>
            <w:proofErr w:type="spellStart"/>
            <w:r w:rsidRPr="00372FF3">
              <w:rPr>
                <w:rFonts w:cs="Times New Roman"/>
                <w:sz w:val="22"/>
                <w:szCs w:val="22"/>
              </w:rPr>
              <w:t>położnej</w:t>
            </w:r>
            <w:proofErr w:type="spellEnd"/>
            <w:r w:rsidRPr="00372FF3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F16352" w:rsidRPr="00372FF3" w14:paraId="68C5BB64" w14:textId="77777777" w:rsidTr="00372FF3">
        <w:trPr>
          <w:trHeight w:val="109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A18D3C7" w14:textId="77777777" w:rsidR="00F16352" w:rsidRPr="00372FF3" w:rsidRDefault="00A255FA" w:rsidP="001B3CDD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5813B87" w14:textId="1B307DE8" w:rsidR="00F16352" w:rsidRPr="00372FF3" w:rsidRDefault="00255EE5" w:rsidP="00255EE5">
            <w:pPr>
              <w:spacing w:after="0" w:line="240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60</w:t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9D599C3" w14:textId="77777777" w:rsidR="00F16352" w:rsidRPr="00372FF3" w:rsidRDefault="00A255FA" w:rsidP="001B3CDD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372FF3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0278A104" w14:textId="0161CB5F" w:rsidR="00F16352" w:rsidRPr="00372FF3" w:rsidRDefault="00255EE5" w:rsidP="001B3CDD">
            <w:pPr>
              <w:spacing w:after="0" w:line="240" w:lineRule="auto"/>
              <w:ind w:left="1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3</w:t>
            </w:r>
          </w:p>
        </w:tc>
      </w:tr>
      <w:tr w:rsidR="00255EE5" w:rsidRPr="00372FF3" w14:paraId="5C6AA6F4" w14:textId="77777777" w:rsidTr="00372FF3">
        <w:trPr>
          <w:trHeight w:val="343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4B2DA3A" w14:textId="42A1FC68" w:rsidR="00255EE5" w:rsidRPr="00372FF3" w:rsidRDefault="00255EE5" w:rsidP="00255EE5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Pr="00372FF3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255EE5" w:rsidRPr="00372FF3" w14:paraId="7B5AB2D9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293CE37" w14:textId="1B053F3A" w:rsidR="00255EE5" w:rsidRPr="00372FF3" w:rsidRDefault="00255EE5" w:rsidP="00255EE5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372FF3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372FF3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655A57" w:rsidRPr="00372FF3" w14:paraId="1C7ADA2E" w14:textId="77777777" w:rsidTr="00372FF3">
        <w:trPr>
          <w:trHeight w:val="24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618C28BE" w14:textId="3882BEF6" w:rsidR="00655A57" w:rsidRPr="00372FF3" w:rsidRDefault="00655A57" w:rsidP="00655A57">
            <w:pPr>
              <w:spacing w:after="0" w:line="240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lastRenderedPageBreak/>
              <w:t xml:space="preserve">Efekty uczenia się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5903DFCE" w14:textId="691F0A0B" w:rsidR="00655A57" w:rsidRPr="00372FF3" w:rsidRDefault="00655A57" w:rsidP="00655A57">
            <w:pPr>
              <w:spacing w:after="0" w:line="240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04ADD96D" w14:textId="03111DA1" w:rsidR="00655A57" w:rsidRPr="00372FF3" w:rsidRDefault="00655A57" w:rsidP="00655A57">
            <w:pPr>
              <w:spacing w:after="0" w:line="240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655A57" w:rsidRPr="00372FF3" w14:paraId="0B318206" w14:textId="77777777" w:rsidTr="00372FF3">
        <w:trPr>
          <w:trHeight w:val="438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010D74D" w14:textId="01CE87DD" w:rsidR="00655A57" w:rsidRPr="00372FF3" w:rsidRDefault="00655A57" w:rsidP="00655A57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11206E7B" w14:textId="7004346D" w:rsidR="00655A57" w:rsidRPr="00372FF3" w:rsidRDefault="00655A57" w:rsidP="00372FF3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Realizowane w części teoretycznej przedmiotu 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243B1F6E" w14:textId="0E2C3641" w:rsidR="00655A57" w:rsidRPr="00372FF3" w:rsidRDefault="00655A57" w:rsidP="00655A57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 *</w:t>
            </w:r>
          </w:p>
        </w:tc>
      </w:tr>
      <w:tr w:rsidR="00655A57" w:rsidRPr="00372FF3" w14:paraId="25B1352F" w14:textId="77777777" w:rsidTr="00372FF3">
        <w:trPr>
          <w:trHeight w:val="752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555E977" w14:textId="6B002963" w:rsidR="00655A57" w:rsidRPr="00372FF3" w:rsidRDefault="00655A57" w:rsidP="00655A57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W zakresie </w:t>
            </w:r>
            <w:r w:rsidR="00372FF3" w:rsidRPr="00372FF3">
              <w:rPr>
                <w:rFonts w:cs="Times New Roman"/>
                <w:sz w:val="22"/>
                <w:szCs w:val="22"/>
              </w:rPr>
              <w:t>umiejętności</w:t>
            </w:r>
            <w:r w:rsidRPr="00372FF3">
              <w:rPr>
                <w:rFonts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8CFC" w14:textId="77777777" w:rsidR="00655A57" w:rsidRPr="00372FF3" w:rsidRDefault="00655A57" w:rsidP="00655A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Realizacja zleconego zadania</w:t>
            </w:r>
          </w:p>
          <w:p w14:paraId="116CC8E4" w14:textId="30F68B25" w:rsidR="00655A57" w:rsidRPr="00372FF3" w:rsidRDefault="00655A57" w:rsidP="00655A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0" w:right="-55"/>
              <w:jc w:val="left"/>
              <w:rPr>
                <w:rFonts w:cs="Times New Roman"/>
                <w:bCs/>
                <w:color w:val="auto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563834F" w14:textId="4B3891C1" w:rsidR="00655A57" w:rsidRPr="00372FF3" w:rsidRDefault="004A75C0" w:rsidP="00655A57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  <w:tr w:rsidR="00655A57" w:rsidRPr="00372FF3" w14:paraId="082A1EF6" w14:textId="77777777" w:rsidTr="00372FF3">
        <w:trPr>
          <w:trHeight w:val="318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1A520A7E" w14:textId="6A44EF72" w:rsidR="00655A57" w:rsidRPr="00372FF3" w:rsidRDefault="00655A57" w:rsidP="00655A57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94303" w14:textId="586E9237" w:rsidR="00655A57" w:rsidRPr="00372FF3" w:rsidRDefault="00655A57" w:rsidP="00655A5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eastAsiaTheme="minorHAnsi"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593CAF9E" w14:textId="183ECC5F" w:rsidR="00655A57" w:rsidRPr="00372FF3" w:rsidRDefault="00655A57" w:rsidP="00655A57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372FF3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</w:tbl>
    <w:p w14:paraId="2F8E2391" w14:textId="4E5092AE" w:rsidR="00F16352" w:rsidRDefault="00A255FA" w:rsidP="00372FF3">
      <w:pPr>
        <w:spacing w:after="0" w:line="240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372FF3">
        <w:rPr>
          <w:rFonts w:cs="Times New Roman"/>
          <w:sz w:val="22"/>
          <w:szCs w:val="22"/>
        </w:rPr>
        <w:t xml:space="preserve"> </w:t>
      </w:r>
      <w:r w:rsidRPr="00372FF3">
        <w:rPr>
          <w:rFonts w:cs="Times New Roman"/>
          <w:b/>
          <w:bCs/>
          <w:sz w:val="22"/>
          <w:szCs w:val="22"/>
        </w:rPr>
        <w:t>*</w:t>
      </w:r>
      <w:r w:rsidRPr="00372FF3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041802F8" w14:textId="77777777" w:rsidR="00372FF3" w:rsidRPr="00372FF3" w:rsidRDefault="00372FF3" w:rsidP="00372FF3">
      <w:pPr>
        <w:spacing w:after="0" w:line="240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7AF745BE" w14:textId="77777777" w:rsidR="00F16352" w:rsidRPr="00372FF3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372FF3">
        <w:rPr>
          <w:rFonts w:cs="Times New Roman"/>
          <w:b/>
          <w:bCs/>
          <w:sz w:val="22"/>
          <w:szCs w:val="22"/>
        </w:rPr>
        <w:t>Bardzo dobry (5,0)</w:t>
      </w:r>
      <w:r w:rsidRPr="00372FF3">
        <w:rPr>
          <w:rFonts w:cs="Times New Roman"/>
          <w:sz w:val="22"/>
          <w:szCs w:val="22"/>
        </w:rPr>
        <w:t xml:space="preserve"> - zakładane efekty uczenia się zostały osią</w:t>
      </w:r>
      <w:r w:rsidRPr="00372FF3">
        <w:rPr>
          <w:rFonts w:cs="Times New Roman"/>
          <w:sz w:val="22"/>
          <w:szCs w:val="22"/>
          <w:lang w:val="it-IT"/>
        </w:rPr>
        <w:t>gni</w:t>
      </w:r>
      <w:proofErr w:type="spellStart"/>
      <w:r w:rsidRPr="00372FF3">
        <w:rPr>
          <w:rFonts w:cs="Times New Roman"/>
          <w:sz w:val="22"/>
          <w:szCs w:val="22"/>
        </w:rPr>
        <w:t>ęte</w:t>
      </w:r>
      <w:proofErr w:type="spellEnd"/>
      <w:r w:rsidRPr="00372FF3">
        <w:rPr>
          <w:rFonts w:cs="Times New Roman"/>
          <w:sz w:val="22"/>
          <w:szCs w:val="22"/>
        </w:rPr>
        <w:t xml:space="preserve"> i znacznym stopniu przekraczają wymagany poziom </w:t>
      </w:r>
    </w:p>
    <w:p w14:paraId="7B3B8294" w14:textId="77777777" w:rsidR="00F16352" w:rsidRPr="00372FF3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372FF3">
        <w:rPr>
          <w:rFonts w:cs="Times New Roman"/>
          <w:b/>
          <w:bCs/>
          <w:sz w:val="22"/>
          <w:szCs w:val="22"/>
        </w:rPr>
        <w:t>Ponad dobry (4,5)</w:t>
      </w:r>
      <w:r w:rsidRPr="00372FF3">
        <w:rPr>
          <w:rFonts w:cs="Times New Roman"/>
          <w:sz w:val="22"/>
          <w:szCs w:val="22"/>
        </w:rPr>
        <w:t xml:space="preserve"> - zakładane efekty uczenia się zostały osią</w:t>
      </w:r>
      <w:r w:rsidRPr="00372FF3">
        <w:rPr>
          <w:rFonts w:cs="Times New Roman"/>
          <w:sz w:val="22"/>
          <w:szCs w:val="22"/>
          <w:lang w:val="it-IT"/>
        </w:rPr>
        <w:t>gni</w:t>
      </w:r>
      <w:proofErr w:type="spellStart"/>
      <w:r w:rsidRPr="00372FF3">
        <w:rPr>
          <w:rFonts w:cs="Times New Roman"/>
          <w:sz w:val="22"/>
          <w:szCs w:val="22"/>
        </w:rPr>
        <w:t>ęte</w:t>
      </w:r>
      <w:proofErr w:type="spellEnd"/>
      <w:r w:rsidRPr="00372FF3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350D7202" w14:textId="77777777" w:rsidR="00F16352" w:rsidRPr="00372FF3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372FF3">
        <w:rPr>
          <w:rFonts w:cs="Times New Roman"/>
          <w:b/>
          <w:bCs/>
          <w:sz w:val="22"/>
          <w:szCs w:val="22"/>
        </w:rPr>
        <w:t>Dobry (4,0)</w:t>
      </w:r>
      <w:r w:rsidRPr="00372FF3">
        <w:rPr>
          <w:rFonts w:cs="Times New Roman"/>
          <w:sz w:val="22"/>
          <w:szCs w:val="22"/>
        </w:rPr>
        <w:t xml:space="preserve"> – zakładane efekty uczenia się zostały osią</w:t>
      </w:r>
      <w:r w:rsidRPr="00372FF3">
        <w:rPr>
          <w:rFonts w:cs="Times New Roman"/>
          <w:sz w:val="22"/>
          <w:szCs w:val="22"/>
          <w:lang w:val="it-IT"/>
        </w:rPr>
        <w:t>gni</w:t>
      </w:r>
      <w:proofErr w:type="spellStart"/>
      <w:r w:rsidRPr="00372FF3">
        <w:rPr>
          <w:rFonts w:cs="Times New Roman"/>
          <w:sz w:val="22"/>
          <w:szCs w:val="22"/>
        </w:rPr>
        <w:t>ęte</w:t>
      </w:r>
      <w:proofErr w:type="spellEnd"/>
      <w:r w:rsidRPr="00372FF3">
        <w:rPr>
          <w:rFonts w:cs="Times New Roman"/>
          <w:sz w:val="22"/>
          <w:szCs w:val="22"/>
        </w:rPr>
        <w:t xml:space="preserve"> na wymaganym poziomie </w:t>
      </w:r>
    </w:p>
    <w:p w14:paraId="5FDB9582" w14:textId="77777777" w:rsidR="00F16352" w:rsidRPr="00372FF3" w:rsidRDefault="00A255FA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  <w:r w:rsidRPr="00372FF3">
        <w:rPr>
          <w:rFonts w:cs="Times New Roman"/>
          <w:b/>
          <w:bCs/>
          <w:sz w:val="22"/>
          <w:szCs w:val="22"/>
        </w:rPr>
        <w:t>Dość dobry (3,5)</w:t>
      </w:r>
      <w:r w:rsidRPr="00372FF3">
        <w:rPr>
          <w:rFonts w:cs="Times New Roman"/>
          <w:sz w:val="22"/>
          <w:szCs w:val="22"/>
        </w:rPr>
        <w:t xml:space="preserve"> – zakładane efekty uczenia się zostały osią</w:t>
      </w:r>
      <w:r w:rsidRPr="00372FF3">
        <w:rPr>
          <w:rFonts w:cs="Times New Roman"/>
          <w:sz w:val="22"/>
          <w:szCs w:val="22"/>
          <w:lang w:val="it-IT"/>
        </w:rPr>
        <w:t>gni</w:t>
      </w:r>
      <w:proofErr w:type="spellStart"/>
      <w:r w:rsidRPr="00372FF3">
        <w:rPr>
          <w:rFonts w:cs="Times New Roman"/>
          <w:sz w:val="22"/>
          <w:szCs w:val="22"/>
        </w:rPr>
        <w:t>ęte</w:t>
      </w:r>
      <w:proofErr w:type="spellEnd"/>
      <w:r w:rsidRPr="00372FF3">
        <w:rPr>
          <w:rFonts w:cs="Times New Roman"/>
          <w:sz w:val="22"/>
          <w:szCs w:val="22"/>
        </w:rPr>
        <w:t xml:space="preserve"> na średnim wymaganym poziomie </w:t>
      </w:r>
      <w:r w:rsidRPr="00372FF3">
        <w:rPr>
          <w:rFonts w:cs="Times New Roman"/>
          <w:b/>
          <w:bCs/>
          <w:sz w:val="22"/>
          <w:szCs w:val="22"/>
        </w:rPr>
        <w:t>Dostateczny (3,0)</w:t>
      </w:r>
      <w:r w:rsidRPr="00372FF3">
        <w:rPr>
          <w:rFonts w:cs="Times New Roman"/>
          <w:sz w:val="22"/>
          <w:szCs w:val="22"/>
        </w:rPr>
        <w:t xml:space="preserve"> - zakładane efekty uczenia się zostały osią</w:t>
      </w:r>
      <w:r w:rsidRPr="00372FF3">
        <w:rPr>
          <w:rFonts w:cs="Times New Roman"/>
          <w:sz w:val="22"/>
          <w:szCs w:val="22"/>
          <w:lang w:val="it-IT"/>
        </w:rPr>
        <w:t>gni</w:t>
      </w:r>
      <w:proofErr w:type="spellStart"/>
      <w:r w:rsidRPr="00372FF3">
        <w:rPr>
          <w:rFonts w:cs="Times New Roman"/>
          <w:sz w:val="22"/>
          <w:szCs w:val="22"/>
        </w:rPr>
        <w:t>ęte</w:t>
      </w:r>
      <w:proofErr w:type="spellEnd"/>
      <w:r w:rsidRPr="00372FF3">
        <w:rPr>
          <w:rFonts w:cs="Times New Roman"/>
          <w:sz w:val="22"/>
          <w:szCs w:val="22"/>
        </w:rPr>
        <w:t xml:space="preserve"> na minimalnym wymaganym poziomie </w:t>
      </w:r>
    </w:p>
    <w:p w14:paraId="4B085E9E" w14:textId="715A4201" w:rsidR="00F16352" w:rsidRDefault="00A255FA" w:rsidP="00372FF3">
      <w:pPr>
        <w:spacing w:after="0" w:line="240" w:lineRule="auto"/>
        <w:ind w:left="336" w:right="911"/>
        <w:rPr>
          <w:rFonts w:cs="Times New Roman"/>
          <w:b/>
          <w:bCs/>
          <w:i/>
          <w:iCs/>
          <w:sz w:val="22"/>
          <w:szCs w:val="22"/>
        </w:rPr>
      </w:pPr>
      <w:r w:rsidRPr="00372FF3">
        <w:rPr>
          <w:rFonts w:cs="Times New Roman"/>
          <w:b/>
          <w:bCs/>
          <w:sz w:val="22"/>
          <w:szCs w:val="22"/>
        </w:rPr>
        <w:t>Niedostateczny (2,0)</w:t>
      </w:r>
      <w:r w:rsidRPr="00372FF3">
        <w:rPr>
          <w:rFonts w:cs="Times New Roman"/>
          <w:sz w:val="22"/>
          <w:szCs w:val="22"/>
        </w:rPr>
        <w:t xml:space="preserve"> – zakładane efekty uczenia się nie zostały uzyskane. </w:t>
      </w:r>
      <w:r w:rsidRPr="00372FF3">
        <w:rPr>
          <w:rFonts w:cs="Times New Roman"/>
          <w:b/>
          <w:bCs/>
          <w:i/>
          <w:iCs/>
          <w:sz w:val="22"/>
          <w:szCs w:val="22"/>
        </w:rPr>
        <w:t xml:space="preserve">  </w:t>
      </w:r>
    </w:p>
    <w:p w14:paraId="2EA31B19" w14:textId="425355F0" w:rsidR="00AF4E55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1214B973" w14:textId="401B1B69" w:rsidR="00AF4E55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6AF7728B" w14:textId="31F231D0" w:rsidR="00AF4E55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336DC105" w14:textId="1492A919" w:rsidR="00AF4E55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596DD41C" w14:textId="656F2091" w:rsidR="00AF4E55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7341582E" w14:textId="2CE0C011" w:rsidR="00AF4E55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p w14:paraId="22314270" w14:textId="77777777" w:rsidR="00AF4E55" w:rsidRPr="001B3CDD" w:rsidRDefault="00AF4E55" w:rsidP="00AF4E55">
      <w:pPr>
        <w:spacing w:after="0" w:line="240" w:lineRule="auto"/>
        <w:ind w:left="341" w:right="0" w:firstLine="0"/>
        <w:jc w:val="left"/>
        <w:rPr>
          <w:rFonts w:ascii="Calibri" w:hAnsi="Calibri" w:cs="Calibri"/>
          <w:sz w:val="22"/>
          <w:szCs w:val="22"/>
        </w:rPr>
      </w:pPr>
    </w:p>
    <w:p w14:paraId="56CE91E3" w14:textId="77777777" w:rsidR="00AF4E55" w:rsidRPr="001B3CDD" w:rsidRDefault="00AF4E55" w:rsidP="00AF4E55">
      <w:pPr>
        <w:spacing w:after="0" w:line="240" w:lineRule="auto"/>
        <w:ind w:left="341" w:right="0" w:firstLine="0"/>
        <w:jc w:val="left"/>
        <w:rPr>
          <w:rFonts w:ascii="Calibri" w:hAnsi="Calibri" w:cs="Calibri"/>
          <w:sz w:val="22"/>
          <w:szCs w:val="22"/>
        </w:rPr>
      </w:pPr>
      <w:r w:rsidRPr="001B3CDD">
        <w:rPr>
          <w:rFonts w:ascii="Calibri" w:hAnsi="Calibri" w:cs="Calibri"/>
          <w:sz w:val="22"/>
          <w:szCs w:val="22"/>
        </w:rPr>
        <w:t xml:space="preserve"> </w:t>
      </w:r>
    </w:p>
    <w:p w14:paraId="4DBF8B14" w14:textId="77777777" w:rsidR="00AF4E55" w:rsidRPr="00336D77" w:rsidRDefault="00AF4E55" w:rsidP="00AF4E55">
      <w:pPr>
        <w:pStyle w:val="Nagwek1"/>
        <w:spacing w:line="240" w:lineRule="auto"/>
        <w:ind w:right="611"/>
        <w:rPr>
          <w:rFonts w:ascii="Calibri" w:hAnsi="Calibri" w:cs="Calibri"/>
          <w:sz w:val="24"/>
          <w:szCs w:val="22"/>
        </w:rPr>
      </w:pPr>
      <w:r w:rsidRPr="00336D77">
        <w:rPr>
          <w:rFonts w:ascii="Calibri" w:hAnsi="Calibri" w:cs="Calibri"/>
          <w:sz w:val="24"/>
          <w:szCs w:val="22"/>
        </w:rPr>
        <w:t xml:space="preserve">Karta przedmiotu – praktyka zawodowa Cz. 2 </w:t>
      </w:r>
    </w:p>
    <w:p w14:paraId="48476165" w14:textId="77777777" w:rsidR="00AF4E55" w:rsidRPr="001B3CDD" w:rsidRDefault="00AF4E55" w:rsidP="00AF4E55">
      <w:pPr>
        <w:spacing w:after="0" w:line="240" w:lineRule="auto"/>
        <w:ind w:left="341" w:right="0" w:firstLine="0"/>
        <w:jc w:val="left"/>
        <w:rPr>
          <w:rFonts w:ascii="Calibri" w:hAnsi="Calibri" w:cs="Calibri"/>
          <w:sz w:val="22"/>
          <w:szCs w:val="22"/>
        </w:rPr>
      </w:pPr>
      <w:r w:rsidRPr="001B3CDD">
        <w:rPr>
          <w:rFonts w:ascii="Calibri" w:hAnsi="Calibri" w:cs="Calibri"/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4906"/>
        <w:gridCol w:w="2031"/>
      </w:tblGrid>
      <w:tr w:rsidR="00AF4E55" w:rsidRPr="00AF4E55" w14:paraId="6F24F383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04571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AF4E55" w:rsidRPr="00AF4E55" w14:paraId="69480C3C" w14:textId="77777777" w:rsidTr="00DD2690">
        <w:trPr>
          <w:trHeight w:val="106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EE558" w14:textId="77777777" w:rsidR="00AF4E55" w:rsidRPr="00AF4E55" w:rsidRDefault="00AF4E55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AF4E55">
              <w:rPr>
                <w:rFonts w:cs="Times New Roman"/>
                <w:sz w:val="22"/>
                <w:szCs w:val="22"/>
              </w:rPr>
              <w:t xml:space="preserve"> </w:t>
            </w: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25D14B72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</w:t>
            </w:r>
            <w:r w:rsidRPr="00AF4E55">
              <w:rPr>
                <w:rFonts w:cs="Times New Roman"/>
                <w:bCs/>
                <w:sz w:val="22"/>
                <w:szCs w:val="22"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AF4E55" w:rsidRPr="00AF4E55" w14:paraId="7933696C" w14:textId="77777777" w:rsidTr="00DD2690">
        <w:trPr>
          <w:trHeight w:val="757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4001" w14:textId="77777777" w:rsidR="00AF4E55" w:rsidRPr="00AF4E55" w:rsidRDefault="00AF4E55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>14. Imię i nazwisko osoby opiekuna/kierownika praktyki:</w:t>
            </w:r>
          </w:p>
          <w:p w14:paraId="0046108D" w14:textId="77777777" w:rsidR="00AF4E55" w:rsidRPr="00AF4E55" w:rsidRDefault="00AF4E55" w:rsidP="00DD2690">
            <w:pPr>
              <w:spacing w:after="0" w:line="240" w:lineRule="auto"/>
              <w:ind w:left="0" w:right="424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>Opiekun praktyki w placówce</w:t>
            </w:r>
            <w:r w:rsidRPr="00AF4E55">
              <w:rPr>
                <w:rFonts w:cs="Times New Roman"/>
                <w:sz w:val="22"/>
                <w:szCs w:val="22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1AF5AED1" w14:textId="77777777" w:rsidR="00AF4E55" w:rsidRPr="00AF4E55" w:rsidRDefault="00AF4E55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>Opiekun praktyki w Uczelni:</w:t>
            </w:r>
          </w:p>
          <w:p w14:paraId="5E40473D" w14:textId="77777777" w:rsidR="00AF4E55" w:rsidRPr="00AF4E55" w:rsidRDefault="00AF4E55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AF4E55">
              <w:rPr>
                <w:rFonts w:cs="Times New Roman"/>
                <w:color w:val="auto"/>
                <w:sz w:val="22"/>
                <w:szCs w:val="22"/>
              </w:rPr>
              <w:t>Dr n. med. Katarzyna Leszczyńska (I rok)</w:t>
            </w:r>
          </w:p>
          <w:p w14:paraId="62F9EA0A" w14:textId="77777777" w:rsidR="00AF4E55" w:rsidRPr="00AF4E55" w:rsidRDefault="00AF4E55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AF4E55">
              <w:rPr>
                <w:rFonts w:cs="Times New Roman"/>
                <w:color w:val="auto"/>
                <w:sz w:val="22"/>
                <w:szCs w:val="22"/>
              </w:rPr>
              <w:t>Mgr Katarzyna Osadnik (II rok studia stacjonarne)</w:t>
            </w:r>
          </w:p>
          <w:p w14:paraId="28947DA4" w14:textId="77777777" w:rsidR="00AF4E55" w:rsidRPr="00AF4E55" w:rsidRDefault="00AF4E55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AF4E55">
              <w:rPr>
                <w:rFonts w:cs="Times New Roman"/>
                <w:color w:val="auto"/>
                <w:sz w:val="22"/>
                <w:szCs w:val="22"/>
              </w:rPr>
              <w:t>Dr n. med. i n. o zdrowiu Barbara Kotlarz (II rok studia niestacjonarne)</w:t>
            </w:r>
          </w:p>
          <w:p w14:paraId="63A4C7A8" w14:textId="77777777" w:rsidR="00AF4E55" w:rsidRPr="00AF4E55" w:rsidRDefault="00AF4E55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>Kierownik Studenckich Praktyk Zawodowych na kierunku Położnictwo</w:t>
            </w:r>
          </w:p>
          <w:p w14:paraId="438C5205" w14:textId="77777777" w:rsidR="00AF4E55" w:rsidRPr="00AF4E55" w:rsidRDefault="00AF4E55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Style w:val="Pogrubienie"/>
                <w:rFonts w:cs="Times New Roman"/>
                <w:sz w:val="22"/>
                <w:szCs w:val="22"/>
              </w:rPr>
              <w:t>Dr Marta Majchrzak</w:t>
            </w:r>
          </w:p>
        </w:tc>
      </w:tr>
      <w:tr w:rsidR="00AF4E55" w:rsidRPr="00AF4E55" w14:paraId="5B786D5D" w14:textId="77777777" w:rsidTr="00DD2690">
        <w:trPr>
          <w:trHeight w:val="1088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4BBF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3D46AD70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Ukończony  I poziomu kształcenia kierunku położnictwo; podstawowa wiedza z zakresu położnictwa, ginekologii, neonatologii, psychologii, teorii pielęgniarstwa, działalności POZ, kompetencji zawodowych położnej.</w:t>
            </w:r>
          </w:p>
        </w:tc>
      </w:tr>
      <w:tr w:rsidR="00AF4E55" w:rsidRPr="00AF4E55" w14:paraId="74F6E6E9" w14:textId="77777777" w:rsidTr="00DD2690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6087429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D5D0788" w14:textId="77777777" w:rsidR="00AF4E55" w:rsidRPr="00AF4E55" w:rsidRDefault="00AF4E55" w:rsidP="00DD2690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Nie dotyczy (praktyki zawodowe realizowane są w trybie indywidualnym)  </w:t>
            </w:r>
          </w:p>
        </w:tc>
      </w:tr>
      <w:tr w:rsidR="00AF4E55" w:rsidRPr="00AF4E55" w14:paraId="500F34FF" w14:textId="77777777" w:rsidTr="00DD2690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F05783F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  <w:lang w:val="it-IT"/>
              </w:rPr>
              <w:lastRenderedPageBreak/>
              <w:t>17. Materia</w:t>
            </w:r>
            <w:proofErr w:type="spellStart"/>
            <w:r w:rsidRPr="00AF4E55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FE2EF9D" w14:textId="77777777" w:rsidR="00AF4E55" w:rsidRPr="00AF4E55" w:rsidRDefault="00AF4E55" w:rsidP="00DD2690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Określone jak dla przedmiotu</w:t>
            </w:r>
          </w:p>
        </w:tc>
      </w:tr>
      <w:tr w:rsidR="00AF4E55" w:rsidRPr="00AF4E55" w14:paraId="3A18F204" w14:textId="77777777" w:rsidTr="00DD2690">
        <w:trPr>
          <w:trHeight w:val="610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271081B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550DC1B" w14:textId="77777777" w:rsidR="00AF4E55" w:rsidRPr="00AF4E55" w:rsidRDefault="00AF4E55" w:rsidP="00DD2690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W placówce wskazanej przez studenta</w:t>
            </w:r>
          </w:p>
        </w:tc>
      </w:tr>
      <w:tr w:rsidR="00AF4E55" w:rsidRPr="00AF4E55" w14:paraId="6F52C553" w14:textId="77777777" w:rsidTr="00DD2690">
        <w:trPr>
          <w:trHeight w:val="678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A09672E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5C846DA" w14:textId="77777777" w:rsidR="00AF4E55" w:rsidRPr="00AF4E55" w:rsidRDefault="00AF4E55" w:rsidP="00DD2690">
            <w:pPr>
              <w:spacing w:after="0" w:line="240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Zgodnie z harmonogramem konsultacji nauczycieli akademickich sprawujących nadzór nad praktykami</w:t>
            </w:r>
          </w:p>
        </w:tc>
      </w:tr>
      <w:tr w:rsidR="00AF4E55" w:rsidRPr="00AF4E55" w14:paraId="3851B2A3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00D4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>20. Efekty uczenia się</w:t>
            </w:r>
            <w:r w:rsidRPr="00AF4E55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AF4E55" w:rsidRPr="00AF4E55" w14:paraId="11521E13" w14:textId="77777777" w:rsidTr="00DD2690">
        <w:trPr>
          <w:trHeight w:val="10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E717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 xml:space="preserve">Numer przedmiotowego </w:t>
            </w:r>
          </w:p>
          <w:p w14:paraId="553428F5" w14:textId="77777777" w:rsidR="00AF4E55" w:rsidRPr="00AF4E55" w:rsidRDefault="00AF4E55" w:rsidP="00DD2690">
            <w:pPr>
              <w:spacing w:after="0" w:line="240" w:lineRule="auto"/>
              <w:ind w:left="0" w:right="35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 xml:space="preserve">efektu uczenia </w:t>
            </w:r>
          </w:p>
          <w:p w14:paraId="4D142368" w14:textId="77777777" w:rsidR="00AF4E55" w:rsidRPr="00AF4E55" w:rsidRDefault="00AF4E55" w:rsidP="00DD2690">
            <w:pPr>
              <w:spacing w:after="0" w:line="240" w:lineRule="auto"/>
              <w:ind w:left="0" w:right="34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 xml:space="preserve">się 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189F35E9" w14:textId="77777777" w:rsidR="00AF4E55" w:rsidRPr="00AF4E55" w:rsidRDefault="00AF4E55" w:rsidP="00DD2690">
            <w:pPr>
              <w:spacing w:after="0" w:line="240" w:lineRule="auto"/>
              <w:ind w:left="0" w:right="33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Przedmiotowe efekty uczenia się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3D90D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>Odniesienie do efekt</w:t>
            </w:r>
            <w:r w:rsidRPr="00AF4E55">
              <w:rPr>
                <w:rFonts w:cs="Times New Roman"/>
                <w:b/>
                <w:sz w:val="22"/>
                <w:szCs w:val="22"/>
                <w:lang w:val="es-ES_tradnl"/>
              </w:rPr>
              <w:t>ó</w:t>
            </w:r>
            <w:r w:rsidRPr="00AF4E55">
              <w:rPr>
                <w:rFonts w:cs="Times New Roman"/>
                <w:b/>
                <w:sz w:val="22"/>
                <w:szCs w:val="22"/>
              </w:rPr>
              <w:t>w uczenia się zawartych w</w:t>
            </w:r>
          </w:p>
          <w:p w14:paraId="760AA468" w14:textId="77777777" w:rsidR="00AF4E55" w:rsidRPr="00AF4E55" w:rsidRDefault="00AF4E55" w:rsidP="00DD2690">
            <w:pPr>
              <w:spacing w:after="0" w:line="240" w:lineRule="auto"/>
              <w:ind w:left="28" w:right="0" w:firstLine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F4E55">
              <w:rPr>
                <w:rFonts w:cs="Times New Roman"/>
                <w:b/>
                <w:sz w:val="22"/>
                <w:szCs w:val="22"/>
              </w:rPr>
              <w:t>standardach kształcenia</w:t>
            </w:r>
          </w:p>
        </w:tc>
      </w:tr>
      <w:tr w:rsidR="00AF4E55" w:rsidRPr="00AF4E55" w14:paraId="12E735C4" w14:textId="77777777" w:rsidTr="00DD2690">
        <w:trPr>
          <w:trHeight w:val="48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16586EC9" w14:textId="77777777" w:rsidR="00AF4E55" w:rsidRPr="00AF4E55" w:rsidRDefault="00AF4E55" w:rsidP="00DD2690">
            <w:pPr>
              <w:spacing w:after="0" w:line="240" w:lineRule="auto"/>
              <w:ind w:left="-11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P_W01</w:t>
            </w:r>
            <w:r w:rsidRPr="00AF4E55">
              <w:rPr>
                <w:rFonts w:cs="Times New Roman"/>
                <w:b/>
                <w:sz w:val="22"/>
                <w:szCs w:val="22"/>
              </w:rPr>
              <w:t xml:space="preserve"> – </w:t>
            </w:r>
            <w:r w:rsidRPr="00AF4E55">
              <w:rPr>
                <w:rFonts w:cs="Times New Roman"/>
                <w:bCs/>
                <w:sz w:val="22"/>
                <w:szCs w:val="22"/>
              </w:rPr>
              <w:t>P_W23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CB1E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1D48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AF4E55" w:rsidRPr="00AF4E55" w14:paraId="0D7A7523" w14:textId="77777777" w:rsidTr="00DD2690">
        <w:trPr>
          <w:trHeight w:val="44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4B06552D" w14:textId="77777777" w:rsidR="00AF4E55" w:rsidRPr="00AF4E55" w:rsidRDefault="00AF4E55" w:rsidP="00DD2690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P_U01</w:t>
            </w:r>
            <w:r w:rsidRPr="00AF4E55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AF4E55">
              <w:rPr>
                <w:rFonts w:cs="Times New Roman"/>
                <w:bCs/>
                <w:sz w:val="22"/>
                <w:szCs w:val="22"/>
              </w:rPr>
              <w:t>– P_U18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E894C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  <w:p w14:paraId="5BE5FC4E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120E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AF4E55" w:rsidRPr="00AF4E55" w14:paraId="046028D1" w14:textId="77777777" w:rsidTr="00DD2690">
        <w:trPr>
          <w:trHeight w:val="48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DEC6F39" w14:textId="77777777" w:rsidR="00AF4E55" w:rsidRPr="00AF4E55" w:rsidRDefault="00AF4E55" w:rsidP="00DD2690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P_K01</w:t>
            </w:r>
            <w:r w:rsidRPr="00AF4E55">
              <w:rPr>
                <w:rFonts w:cs="Times New Roman"/>
                <w:b/>
                <w:sz w:val="22"/>
                <w:szCs w:val="22"/>
              </w:rPr>
              <w:t xml:space="preserve"> - </w:t>
            </w:r>
            <w:r w:rsidRPr="00AF4E55">
              <w:rPr>
                <w:rFonts w:cs="Times New Roman"/>
                <w:sz w:val="22"/>
                <w:szCs w:val="22"/>
              </w:rPr>
              <w:t>P_K03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9753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3F25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AF4E55" w:rsidRPr="00AF4E55" w14:paraId="2EAB4FEC" w14:textId="77777777" w:rsidTr="00DD2690">
        <w:trPr>
          <w:trHeight w:val="24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A7A24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21. Zakres świadczeń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44FCBB54" w14:textId="77777777" w:rsidR="00AF4E55" w:rsidRPr="00AF4E55" w:rsidRDefault="00AF4E55" w:rsidP="00DD2690">
            <w:pPr>
              <w:spacing w:after="0" w:line="240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AF4E55" w:rsidRPr="00AF4E55" w14:paraId="569DA6AE" w14:textId="77777777" w:rsidTr="00DD2690">
        <w:trPr>
          <w:trHeight w:val="72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5D25E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eastAsia="Calibri" w:cs="Times New Roman"/>
                <w:bCs/>
                <w:sz w:val="22"/>
                <w:szCs w:val="22"/>
              </w:rPr>
              <w:t>O</w:t>
            </w:r>
            <w:r w:rsidRPr="00AF4E55">
              <w:rPr>
                <w:rFonts w:eastAsia="Calibri" w:cs="Times New Roman"/>
                <w:sz w:val="22"/>
                <w:szCs w:val="22"/>
              </w:rPr>
              <w:t>cena stanu zdrowia pacjentki w okresie okołoporodowym z chorobami układowymi, metabolicznymi, endokrynologicznymi i onkologicznymi oraz z zaburzeniami psychicznymi, a także pacjentki z niepełnosprawnością, na podstawie badania fizykalnego, oraz określanie standardu opieki położniczej nad nią;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464D9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AF4E55" w:rsidRPr="00AF4E55" w14:paraId="7EE9F897" w14:textId="77777777" w:rsidTr="00DD2690">
        <w:trPr>
          <w:trHeight w:val="25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056D8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>Wskazywanie różnych formy wsparcia dla kobiet w sytuacjach trudnych w ciąży i w okresie połogu;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0A36B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3F8ACAC6" w14:textId="77777777" w:rsidTr="00DD2690">
        <w:trPr>
          <w:trHeight w:val="668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A5F3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>Organizowanie i podejmowanie współpracy z członkami zespołu interdyscyplinarnego w zakresie opieki nad kobietą i jej rodziną w przypadku choroby przewlekłej, niepełnosprawności i choroby o złym rokowaniu;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55E2E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241D149B" w14:textId="77777777" w:rsidTr="00DD2690">
        <w:trPr>
          <w:trHeight w:val="396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1F362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>Wdrażanie międzynarodowych procedur mających na celu zminimalizowanie ryzyka transmisji wertykalnej wirusa HIV od matki do płodu;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CE31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6F74B4E1" w14:textId="77777777" w:rsidTr="00DD2690">
        <w:trPr>
          <w:trHeight w:val="505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39E1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>Rozpoznawanie objawów współuzależnienia i pomaganie osobom współuzależnionym, wdrażając adekwatne postępowanie oraz sprawować opiekę w środowisku domowym nad kobietą i noworodkiem uzależnionymi od alkoholu, środków odurzających i psychotropowych;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52FBA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1E17E20F" w14:textId="77777777" w:rsidTr="00DD2690">
        <w:trPr>
          <w:trHeight w:val="46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126C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>Rozpoznawanie środowisk zagrożonych problemem przemocy w rodzinie i udzielanie ofiarom profesjonalnej pomocy;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BAEA5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5EB5EE33" w14:textId="77777777" w:rsidTr="00DD2690">
        <w:trPr>
          <w:trHeight w:val="482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256E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bCs/>
                <w:sz w:val="22"/>
                <w:szCs w:val="22"/>
              </w:rPr>
              <w:t>R</w:t>
            </w:r>
            <w:r w:rsidRPr="00AF4E55">
              <w:rPr>
                <w:rFonts w:eastAsia="Calibri" w:cs="Times New Roman"/>
                <w:sz w:val="22"/>
                <w:szCs w:val="22"/>
              </w:rPr>
              <w:t xml:space="preserve">ozpoznawanie objawów zaburzeń odżywiania w ciąży, w tym </w:t>
            </w:r>
            <w:proofErr w:type="spellStart"/>
            <w:r w:rsidRPr="00AF4E55">
              <w:rPr>
                <w:rFonts w:eastAsia="Calibri" w:cs="Times New Roman"/>
                <w:sz w:val="22"/>
                <w:szCs w:val="22"/>
              </w:rPr>
              <w:t>pregoreksji</w:t>
            </w:r>
            <w:proofErr w:type="spellEnd"/>
            <w:r w:rsidRPr="00AF4E55">
              <w:rPr>
                <w:rFonts w:eastAsia="Calibri" w:cs="Times New Roman"/>
                <w:sz w:val="22"/>
                <w:szCs w:val="22"/>
              </w:rPr>
              <w:t xml:space="preserve">, i niedoborów mineralno-witaminowych wynikających z restrykcyjnych diet oraz planowanie działania przeciwdziałającemu ich możliwym niekorzystnym skutkom dla kobiety w ciąży i dla płodu; 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0A77C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6B436ED2" w14:textId="77777777" w:rsidTr="00DD2690">
        <w:trPr>
          <w:trHeight w:val="58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0168A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 xml:space="preserve">Realizowanie programów wczesnej stymulacji i opieki rozwojowej noworodka oraz monitorowanie zmiany zachowania noworodka przy użyciu Skali Oceny Zachowania Noworodka NBAS Thomasa </w:t>
            </w:r>
            <w:proofErr w:type="spellStart"/>
            <w:r w:rsidRPr="00AF4E55">
              <w:rPr>
                <w:rFonts w:eastAsia="Calibri" w:cs="Times New Roman"/>
                <w:sz w:val="22"/>
                <w:szCs w:val="22"/>
              </w:rPr>
              <w:t>Brazeltona</w:t>
            </w:r>
            <w:proofErr w:type="spellEnd"/>
            <w:r w:rsidRPr="00AF4E55">
              <w:rPr>
                <w:rFonts w:eastAsia="Calibri" w:cs="Times New Roman"/>
                <w:sz w:val="22"/>
                <w:szCs w:val="22"/>
              </w:rPr>
              <w:t>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D50D9" w14:textId="77777777" w:rsidR="00AF4E55" w:rsidRPr="00AF4E55" w:rsidRDefault="00AF4E55" w:rsidP="00DD2690">
            <w:pPr>
              <w:spacing w:after="0" w:line="240" w:lineRule="auto"/>
              <w:ind w:left="0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6B51655D" w14:textId="77777777" w:rsidTr="00DD2690">
        <w:trPr>
          <w:trHeight w:val="435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4DE7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>Proponowanie metody pracy z pacjentką i jej rodzicami w ginekologii wieku dziecięcego i rozwojowego;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41B4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74DCF738" w14:textId="77777777" w:rsidTr="00DD2690">
        <w:trPr>
          <w:trHeight w:val="387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8BDC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lastRenderedPageBreak/>
              <w:t>Analizowanie i interpretowanie</w:t>
            </w:r>
            <w:bookmarkStart w:id="0" w:name="_GoBack"/>
            <w:bookmarkEnd w:id="0"/>
            <w:r w:rsidRPr="00AF4E55">
              <w:rPr>
                <w:rFonts w:eastAsia="Calibri" w:cs="Times New Roman"/>
                <w:sz w:val="22"/>
                <w:szCs w:val="22"/>
              </w:rPr>
              <w:t xml:space="preserve"> konsekwencji endokrynologicznych zaburzeń czynności hormonalnej gonad;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44021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7480CED9" w14:textId="77777777" w:rsidTr="00DD2690">
        <w:trPr>
          <w:trHeight w:val="650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51940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AF4E55">
              <w:rPr>
                <w:rFonts w:eastAsia="Calibri" w:cs="Times New Roman"/>
                <w:sz w:val="22"/>
                <w:szCs w:val="22"/>
              </w:rPr>
              <w:t xml:space="preserve">Prowadzenie poradnictwa w zakresie opieki </w:t>
            </w:r>
            <w:proofErr w:type="spellStart"/>
            <w:r w:rsidRPr="00AF4E55">
              <w:rPr>
                <w:rFonts w:eastAsia="Calibri" w:cs="Times New Roman"/>
                <w:sz w:val="22"/>
                <w:szCs w:val="22"/>
              </w:rPr>
              <w:t>prekoncepcyjnej</w:t>
            </w:r>
            <w:proofErr w:type="spellEnd"/>
            <w:r w:rsidRPr="00AF4E55">
              <w:rPr>
                <w:rFonts w:eastAsia="Calibri" w:cs="Times New Roman"/>
                <w:sz w:val="22"/>
                <w:szCs w:val="22"/>
              </w:rPr>
              <w:t xml:space="preserve"> nad pacjentką chorą na cukrzycę i w zakresie opieki okołoporodowej nad kobietą ciężarną, kobietą rodzącą i kobietą w okresie połogu chorą na cukrzycę oraz jej dzieckiem;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9A78" w14:textId="77777777" w:rsidR="00AF4E55" w:rsidRPr="00AF4E55" w:rsidRDefault="00AF4E55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F4E55" w:rsidRPr="00AF4E55" w14:paraId="7E3A0946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C8C5232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AF4E55" w:rsidRPr="00AF4E55" w14:paraId="198E7CBE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1382BCB7" w14:textId="77777777" w:rsidR="00AF4E55" w:rsidRPr="00AF4E55" w:rsidRDefault="00AF4E55" w:rsidP="00DD2690">
            <w:pPr>
              <w:shd w:val="clear" w:color="auto" w:fill="FFFFFF" w:themeFill="background1"/>
              <w:spacing w:after="0" w:line="240" w:lineRule="auto"/>
              <w:ind w:left="58" w:right="0" w:firstLine="0"/>
              <w:jc w:val="left"/>
              <w:rPr>
                <w:rFonts w:cs="Times New Roman"/>
                <w:bCs/>
                <w:sz w:val="22"/>
                <w:szCs w:val="22"/>
                <w:lang w:val="pt-PT"/>
              </w:rPr>
            </w:pPr>
            <w:r w:rsidRPr="00AF4E55">
              <w:rPr>
                <w:rFonts w:cs="Times New Roman"/>
                <w:bCs/>
                <w:sz w:val="22"/>
                <w:szCs w:val="22"/>
                <w:lang w:val="pt-PT"/>
              </w:rPr>
              <w:t>Określona jak dla przedmiotu</w:t>
            </w:r>
          </w:p>
        </w:tc>
      </w:tr>
      <w:tr w:rsidR="00AF4E55" w:rsidRPr="00AF4E55" w14:paraId="5EC2D8BE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A544AB6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AF4E55" w:rsidRPr="00AF4E55" w14:paraId="66E6A5A3" w14:textId="77777777" w:rsidTr="00DD2690">
        <w:trPr>
          <w:trHeight w:val="782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401ECCD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>Zgodnie z zaleceniami organ</w:t>
            </w:r>
            <w:r w:rsidRPr="00AF4E55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AF4E55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08E67760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0C7E5DF1" w14:textId="77777777" w:rsidR="00AF4E55" w:rsidRPr="00AF4E55" w:rsidRDefault="00AF4E55" w:rsidP="00DD2690">
            <w:pPr>
              <w:spacing w:after="0" w:line="240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AF4E55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4535209F" w14:textId="77777777" w:rsidR="00AF4E55" w:rsidRPr="00372FF3" w:rsidRDefault="00AF4E55" w:rsidP="00372FF3">
      <w:pPr>
        <w:spacing w:after="0" w:line="240" w:lineRule="auto"/>
        <w:ind w:left="336" w:right="911"/>
        <w:rPr>
          <w:rFonts w:cs="Times New Roman"/>
          <w:sz w:val="22"/>
          <w:szCs w:val="22"/>
        </w:rPr>
      </w:pPr>
    </w:p>
    <w:sectPr w:rsidR="00AF4E55" w:rsidRPr="00372FF3">
      <w:headerReference w:type="default" r:id="rId7"/>
      <w:footerReference w:type="default" r:id="rId8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CC74F" w14:textId="77777777" w:rsidR="00081457" w:rsidRDefault="00081457">
      <w:pPr>
        <w:spacing w:after="0" w:line="240" w:lineRule="auto"/>
      </w:pPr>
      <w:r>
        <w:separator/>
      </w:r>
    </w:p>
  </w:endnote>
  <w:endnote w:type="continuationSeparator" w:id="0">
    <w:p w14:paraId="194FA562" w14:textId="77777777" w:rsidR="00081457" w:rsidRDefault="00081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D0B44" w14:textId="5F383BF2" w:rsidR="00F16352" w:rsidRDefault="00A255FA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0D2764">
      <w:rPr>
        <w:rFonts w:ascii="Calibri" w:hAnsi="Calibri"/>
        <w:noProof/>
        <w:sz w:val="22"/>
        <w:szCs w:val="22"/>
      </w:rPr>
      <w:t>1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3495E760" w14:textId="77777777" w:rsidR="00F16352" w:rsidRDefault="00A255FA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0053F" w14:textId="77777777" w:rsidR="00081457" w:rsidRDefault="00081457">
      <w:pPr>
        <w:spacing w:after="0" w:line="240" w:lineRule="auto"/>
      </w:pPr>
      <w:r>
        <w:separator/>
      </w:r>
    </w:p>
  </w:footnote>
  <w:footnote w:type="continuationSeparator" w:id="0">
    <w:p w14:paraId="335FDAB0" w14:textId="77777777" w:rsidR="00081457" w:rsidRDefault="00081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2993F" w14:textId="77777777" w:rsidR="00F16352" w:rsidRDefault="00F16352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554E9"/>
    <w:multiLevelType w:val="hybridMultilevel"/>
    <w:tmpl w:val="8A78B510"/>
    <w:lvl w:ilvl="0" w:tplc="C0C85B0C">
      <w:start w:val="1"/>
      <w:numFmt w:val="decimal"/>
      <w:lvlText w:val="%1."/>
      <w:lvlJc w:val="left"/>
      <w:pPr>
        <w:ind w:left="76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60AE06">
      <w:start w:val="1"/>
      <w:numFmt w:val="lowerLetter"/>
      <w:lvlText w:val="%2."/>
      <w:lvlJc w:val="left"/>
      <w:pPr>
        <w:tabs>
          <w:tab w:val="left" w:pos="720"/>
        </w:tabs>
        <w:ind w:left="14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CC6796">
      <w:start w:val="1"/>
      <w:numFmt w:val="lowerRoman"/>
      <w:lvlText w:val="%3."/>
      <w:lvlJc w:val="left"/>
      <w:pPr>
        <w:tabs>
          <w:tab w:val="left" w:pos="720"/>
        </w:tabs>
        <w:ind w:left="219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20B3C2">
      <w:start w:val="1"/>
      <w:numFmt w:val="decimal"/>
      <w:lvlText w:val="%4."/>
      <w:lvlJc w:val="left"/>
      <w:pPr>
        <w:tabs>
          <w:tab w:val="left" w:pos="720"/>
        </w:tabs>
        <w:ind w:left="292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669E8E">
      <w:start w:val="1"/>
      <w:numFmt w:val="lowerLetter"/>
      <w:lvlText w:val="%5."/>
      <w:lvlJc w:val="left"/>
      <w:pPr>
        <w:tabs>
          <w:tab w:val="left" w:pos="720"/>
        </w:tabs>
        <w:ind w:left="364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2CD76C">
      <w:start w:val="1"/>
      <w:numFmt w:val="lowerRoman"/>
      <w:lvlText w:val="%6."/>
      <w:lvlJc w:val="left"/>
      <w:pPr>
        <w:tabs>
          <w:tab w:val="left" w:pos="720"/>
        </w:tabs>
        <w:ind w:left="435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06C66">
      <w:start w:val="1"/>
      <w:numFmt w:val="decimal"/>
      <w:lvlText w:val="%7."/>
      <w:lvlJc w:val="left"/>
      <w:pPr>
        <w:tabs>
          <w:tab w:val="left" w:pos="720"/>
        </w:tabs>
        <w:ind w:left="50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D2C404">
      <w:start w:val="1"/>
      <w:numFmt w:val="lowerLetter"/>
      <w:lvlText w:val="%8."/>
      <w:lvlJc w:val="left"/>
      <w:pPr>
        <w:tabs>
          <w:tab w:val="left" w:pos="720"/>
        </w:tabs>
        <w:ind w:left="580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A4BB5E">
      <w:start w:val="1"/>
      <w:numFmt w:val="lowerRoman"/>
      <w:lvlText w:val="%9."/>
      <w:lvlJc w:val="left"/>
      <w:pPr>
        <w:tabs>
          <w:tab w:val="left" w:pos="720"/>
        </w:tabs>
        <w:ind w:left="651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B266026"/>
    <w:multiLevelType w:val="hybridMultilevel"/>
    <w:tmpl w:val="C7AC8DE8"/>
    <w:lvl w:ilvl="0" w:tplc="94F2AFE0">
      <w:start w:val="1"/>
      <w:numFmt w:val="decimal"/>
      <w:lvlText w:val="%1."/>
      <w:lvlJc w:val="left"/>
      <w:pPr>
        <w:ind w:left="235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64C2276">
      <w:start w:val="1"/>
      <w:numFmt w:val="lowerLetter"/>
      <w:lvlText w:val="%2."/>
      <w:lvlJc w:val="left"/>
      <w:pPr>
        <w:ind w:left="11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B4E0F0">
      <w:start w:val="1"/>
      <w:numFmt w:val="lowerRoman"/>
      <w:lvlText w:val="%3."/>
      <w:lvlJc w:val="left"/>
      <w:pPr>
        <w:ind w:left="19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FBCF42C">
      <w:start w:val="1"/>
      <w:numFmt w:val="decimal"/>
      <w:lvlText w:val="%4."/>
      <w:lvlJc w:val="left"/>
      <w:pPr>
        <w:ind w:left="26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AC41FC">
      <w:start w:val="1"/>
      <w:numFmt w:val="lowerLetter"/>
      <w:lvlText w:val="%5."/>
      <w:lvlJc w:val="left"/>
      <w:pPr>
        <w:ind w:left="334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DF816D4">
      <w:start w:val="1"/>
      <w:numFmt w:val="lowerRoman"/>
      <w:lvlText w:val="%6."/>
      <w:lvlJc w:val="left"/>
      <w:pPr>
        <w:ind w:left="406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230E1EC">
      <w:start w:val="1"/>
      <w:numFmt w:val="decimal"/>
      <w:lvlText w:val="%7."/>
      <w:lvlJc w:val="left"/>
      <w:pPr>
        <w:ind w:left="47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CFC4C06">
      <w:start w:val="1"/>
      <w:numFmt w:val="lowerLetter"/>
      <w:lvlText w:val="%8."/>
      <w:lvlJc w:val="left"/>
      <w:pPr>
        <w:ind w:left="55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A284DC">
      <w:start w:val="1"/>
      <w:numFmt w:val="lowerRoman"/>
      <w:lvlText w:val="%9."/>
      <w:lvlJc w:val="left"/>
      <w:pPr>
        <w:ind w:left="62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A7C3EAA"/>
    <w:multiLevelType w:val="hybridMultilevel"/>
    <w:tmpl w:val="9C5CDEFE"/>
    <w:lvl w:ilvl="0" w:tplc="73D2ABC2">
      <w:start w:val="1"/>
      <w:numFmt w:val="decimal"/>
      <w:lvlText w:val="%1."/>
      <w:lvlJc w:val="left"/>
      <w:pPr>
        <w:ind w:left="76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A0FF5E">
      <w:start w:val="1"/>
      <w:numFmt w:val="lowerLetter"/>
      <w:lvlText w:val="%2."/>
      <w:lvlJc w:val="left"/>
      <w:pPr>
        <w:tabs>
          <w:tab w:val="left" w:pos="720"/>
        </w:tabs>
        <w:ind w:left="14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0407530">
      <w:start w:val="1"/>
      <w:numFmt w:val="lowerRoman"/>
      <w:lvlText w:val="%3."/>
      <w:lvlJc w:val="left"/>
      <w:pPr>
        <w:tabs>
          <w:tab w:val="left" w:pos="720"/>
        </w:tabs>
        <w:ind w:left="219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A764C">
      <w:start w:val="1"/>
      <w:numFmt w:val="decimal"/>
      <w:lvlText w:val="%4."/>
      <w:lvlJc w:val="left"/>
      <w:pPr>
        <w:tabs>
          <w:tab w:val="left" w:pos="720"/>
        </w:tabs>
        <w:ind w:left="292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641FEE">
      <w:start w:val="1"/>
      <w:numFmt w:val="lowerLetter"/>
      <w:lvlText w:val="%5."/>
      <w:lvlJc w:val="left"/>
      <w:pPr>
        <w:tabs>
          <w:tab w:val="left" w:pos="720"/>
        </w:tabs>
        <w:ind w:left="364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727B20">
      <w:start w:val="1"/>
      <w:numFmt w:val="lowerRoman"/>
      <w:lvlText w:val="%6."/>
      <w:lvlJc w:val="left"/>
      <w:pPr>
        <w:tabs>
          <w:tab w:val="left" w:pos="720"/>
        </w:tabs>
        <w:ind w:left="435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E4E01C">
      <w:start w:val="1"/>
      <w:numFmt w:val="decimal"/>
      <w:lvlText w:val="%7."/>
      <w:lvlJc w:val="left"/>
      <w:pPr>
        <w:tabs>
          <w:tab w:val="left" w:pos="720"/>
        </w:tabs>
        <w:ind w:left="508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CF312">
      <w:start w:val="1"/>
      <w:numFmt w:val="lowerLetter"/>
      <w:lvlText w:val="%8."/>
      <w:lvlJc w:val="left"/>
      <w:pPr>
        <w:tabs>
          <w:tab w:val="left" w:pos="720"/>
        </w:tabs>
        <w:ind w:left="5800" w:hanging="4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B24EDE">
      <w:start w:val="1"/>
      <w:numFmt w:val="lowerRoman"/>
      <w:lvlText w:val="%9."/>
      <w:lvlJc w:val="left"/>
      <w:pPr>
        <w:tabs>
          <w:tab w:val="left" w:pos="720"/>
        </w:tabs>
        <w:ind w:left="6510" w:hanging="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2"/>
    <w:lvlOverride w:ilvl="0">
      <w:startOverride w:val="2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52"/>
    <w:rsid w:val="00081457"/>
    <w:rsid w:val="000D2764"/>
    <w:rsid w:val="00123CE6"/>
    <w:rsid w:val="0015261C"/>
    <w:rsid w:val="001A5A01"/>
    <w:rsid w:val="001B3CDD"/>
    <w:rsid w:val="00203822"/>
    <w:rsid w:val="00255EE5"/>
    <w:rsid w:val="0030506E"/>
    <w:rsid w:val="00315E63"/>
    <w:rsid w:val="00324101"/>
    <w:rsid w:val="00336D77"/>
    <w:rsid w:val="00354C37"/>
    <w:rsid w:val="00372FF3"/>
    <w:rsid w:val="003A26D5"/>
    <w:rsid w:val="003A7175"/>
    <w:rsid w:val="003F104F"/>
    <w:rsid w:val="00465574"/>
    <w:rsid w:val="004A0E79"/>
    <w:rsid w:val="004A75C0"/>
    <w:rsid w:val="005C2C72"/>
    <w:rsid w:val="00655A57"/>
    <w:rsid w:val="006731E2"/>
    <w:rsid w:val="006F07EF"/>
    <w:rsid w:val="00706F91"/>
    <w:rsid w:val="00840A5E"/>
    <w:rsid w:val="00853EA2"/>
    <w:rsid w:val="00A255FA"/>
    <w:rsid w:val="00A342CC"/>
    <w:rsid w:val="00AF4E55"/>
    <w:rsid w:val="00B53861"/>
    <w:rsid w:val="00B76E26"/>
    <w:rsid w:val="00BB2097"/>
    <w:rsid w:val="00BE2D85"/>
    <w:rsid w:val="00BF12AC"/>
    <w:rsid w:val="00C0563C"/>
    <w:rsid w:val="00C67B74"/>
    <w:rsid w:val="00CC0268"/>
    <w:rsid w:val="00DF0110"/>
    <w:rsid w:val="00EA6A67"/>
    <w:rsid w:val="00F0001B"/>
    <w:rsid w:val="00F16352"/>
    <w:rsid w:val="00FB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45CA"/>
  <w15:docId w15:val="{6495B741-931A-4EF4-8B5C-29AEC771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563C1"/>
      <w:u w:val="single" w:color="0563C1"/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46557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 w:right="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bdr w:val="none" w:sz="0" w:space="0" w:color="auto"/>
      <w:lang w:eastAsia="en-US"/>
    </w:rPr>
  </w:style>
  <w:style w:type="character" w:styleId="Pogrubienie">
    <w:name w:val="Strong"/>
    <w:basedOn w:val="Domylnaczcionkaakapitu"/>
    <w:uiPriority w:val="22"/>
    <w:qFormat/>
    <w:rsid w:val="00C67B74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F4E55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Ewa;Ewa Urbańska</dc:creator>
  <cp:lastModifiedBy>Katarzyna Opiela</cp:lastModifiedBy>
  <cp:revision>7</cp:revision>
  <cp:lastPrinted>2023-03-16T18:58:00Z</cp:lastPrinted>
  <dcterms:created xsi:type="dcterms:W3CDTF">2024-02-28T12:26:00Z</dcterms:created>
  <dcterms:modified xsi:type="dcterms:W3CDTF">2024-10-25T09:32:00Z</dcterms:modified>
</cp:coreProperties>
</file>