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AA7AB" w14:textId="77777777" w:rsidR="008050C4" w:rsidRPr="00E42DC4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E42DC4">
        <w:rPr>
          <w:b/>
          <w:i/>
          <w:sz w:val="22"/>
        </w:rPr>
        <w:t>Załącznik nr 1b</w:t>
      </w:r>
    </w:p>
    <w:p w14:paraId="12E0F35A" w14:textId="77777777" w:rsidR="00E42DC4" w:rsidRDefault="008050C4" w:rsidP="008050C4">
      <w:pPr>
        <w:pStyle w:val="Nagwek1"/>
        <w:ind w:right="611"/>
        <w:rPr>
          <w:sz w:val="22"/>
        </w:rPr>
      </w:pPr>
      <w:r w:rsidRPr="00E42DC4">
        <w:rPr>
          <w:sz w:val="22"/>
        </w:rPr>
        <w:t xml:space="preserve">Karta przedmiotu - praktyka zawodowa </w:t>
      </w:r>
    </w:p>
    <w:p w14:paraId="67DA85E2" w14:textId="1C5563C3" w:rsidR="008050C4" w:rsidRPr="00E42DC4" w:rsidRDefault="008050C4" w:rsidP="008050C4">
      <w:pPr>
        <w:pStyle w:val="Nagwek1"/>
        <w:ind w:right="611"/>
        <w:rPr>
          <w:sz w:val="22"/>
        </w:rPr>
      </w:pPr>
      <w:r w:rsidRPr="00E42DC4">
        <w:rPr>
          <w:sz w:val="22"/>
        </w:rPr>
        <w:t xml:space="preserve">Cz. 1 </w:t>
      </w:r>
    </w:p>
    <w:tbl>
      <w:tblPr>
        <w:tblStyle w:val="TableGrid"/>
        <w:tblW w:w="9497" w:type="dxa"/>
        <w:tblInd w:w="421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76"/>
        <w:gridCol w:w="1276"/>
        <w:gridCol w:w="4081"/>
        <w:gridCol w:w="1164"/>
      </w:tblGrid>
      <w:tr w:rsidR="008050C4" w:rsidRPr="00E42DC4" w14:paraId="061C3FF3" w14:textId="77777777" w:rsidTr="007F3E80">
        <w:trPr>
          <w:trHeight w:val="262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4F166D" w14:textId="77777777" w:rsidR="008050C4" w:rsidRPr="00E42DC4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Informacje ogólne o przedmiocie </w:t>
            </w:r>
          </w:p>
        </w:tc>
      </w:tr>
      <w:tr w:rsidR="005B0F83" w:rsidRPr="00E42DC4" w14:paraId="3ECD435A" w14:textId="77777777" w:rsidTr="007F3E80">
        <w:trPr>
          <w:trHeight w:val="517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F36B" w14:textId="77777777" w:rsidR="005B0F83" w:rsidRPr="00E42DC4" w:rsidRDefault="005B0F83" w:rsidP="005B0F8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>1. Kierunek studiów:</w:t>
            </w:r>
            <w:r w:rsidRPr="00E42DC4">
              <w:rPr>
                <w:sz w:val="22"/>
              </w:rPr>
              <w:t xml:space="preserve"> Pielęgniarstwo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0014CE" w14:textId="77777777" w:rsidR="005B0F83" w:rsidRPr="00E42DC4" w:rsidRDefault="005B0F83" w:rsidP="005B0F8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DC4">
              <w:rPr>
                <w:rFonts w:ascii="Times New Roman" w:hAnsi="Times New Roman"/>
                <w:b/>
              </w:rPr>
              <w:t>2. Poziom kształcenia:</w:t>
            </w:r>
            <w:r w:rsidRPr="00E42DC4">
              <w:rPr>
                <w:rFonts w:ascii="Times New Roman" w:hAnsi="Times New Roman"/>
              </w:rPr>
              <w:t xml:space="preserve">  I stopień / profil praktyczny</w:t>
            </w:r>
          </w:p>
          <w:p w14:paraId="5A2B00DF" w14:textId="77777777" w:rsidR="005B0F83" w:rsidRPr="00E42DC4" w:rsidRDefault="005B0F83" w:rsidP="005B0F8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2DC4">
              <w:rPr>
                <w:rFonts w:ascii="Times New Roman" w:hAnsi="Times New Roman"/>
                <w:b/>
              </w:rPr>
              <w:t>3. Forma studiów:</w:t>
            </w:r>
            <w:r w:rsidRPr="00E42DC4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B47D68" w:rsidRPr="00E42DC4" w14:paraId="6C6582DD" w14:textId="77777777" w:rsidTr="007F3E80">
        <w:trPr>
          <w:trHeight w:val="517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6550" w14:textId="3A7783CB" w:rsidR="00B47D68" w:rsidRPr="00E42DC4" w:rsidRDefault="00B47D68" w:rsidP="00B47D68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E42DC4">
              <w:rPr>
                <w:b/>
                <w:sz w:val="22"/>
              </w:rPr>
              <w:t>4. Rok:</w:t>
            </w:r>
            <w:r w:rsidRPr="00E42DC4">
              <w:rPr>
                <w:sz w:val="22"/>
              </w:rPr>
              <w:t xml:space="preserve"> III / cykl 2024-2027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4F831C" w14:textId="64E6C749" w:rsidR="00B47D68" w:rsidRPr="00E42DC4" w:rsidRDefault="00B47D68" w:rsidP="00B47D6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2DC4">
              <w:rPr>
                <w:rFonts w:ascii="Times New Roman" w:hAnsi="Times New Roman"/>
                <w:b/>
              </w:rPr>
              <w:t xml:space="preserve">5. Semestr: </w:t>
            </w:r>
            <w:r w:rsidRPr="00E42DC4">
              <w:rPr>
                <w:rFonts w:ascii="Times New Roman" w:hAnsi="Times New Roman"/>
              </w:rPr>
              <w:t>VI</w:t>
            </w:r>
          </w:p>
        </w:tc>
      </w:tr>
      <w:tr w:rsidR="00B47D68" w:rsidRPr="00E42DC4" w14:paraId="158AC9C3" w14:textId="77777777" w:rsidTr="007F3E80">
        <w:trPr>
          <w:trHeight w:val="264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E180" w14:textId="15801500" w:rsidR="00B47D68" w:rsidRPr="00E42DC4" w:rsidRDefault="00B47D68" w:rsidP="00B47D68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  <w:lang w:eastAsia="pl-PL"/>
              </w:rPr>
            </w:pPr>
            <w:r w:rsidRPr="00E42DC4">
              <w:rPr>
                <w:rFonts w:ascii="Times New Roman" w:hAnsi="Times New Roman"/>
                <w:b/>
              </w:rPr>
              <w:t>6. Nazwa przedmiotu:</w:t>
            </w:r>
            <w:r w:rsidRPr="00E42DC4">
              <w:rPr>
                <w:rFonts w:ascii="Times New Roman" w:hAnsi="Times New Roman"/>
              </w:rPr>
              <w:t xml:space="preserve"> </w:t>
            </w:r>
            <w:r w:rsidRPr="00E42DC4">
              <w:rPr>
                <w:rFonts w:ascii="Times New Roman" w:eastAsia="Times New Roman" w:hAnsi="Times New Roman"/>
                <w:lang w:eastAsia="pl-PL"/>
              </w:rPr>
              <w:t xml:space="preserve">Anestezjologia. </w:t>
            </w:r>
            <w:r w:rsidR="00A91B50" w:rsidRPr="00E42DC4">
              <w:rPr>
                <w:rFonts w:ascii="Times New Roman" w:eastAsia="Times New Roman" w:hAnsi="Times New Roman"/>
                <w:lang w:eastAsia="pl-PL"/>
              </w:rPr>
              <w:t>P</w:t>
            </w:r>
            <w:r w:rsidRPr="00E42DC4">
              <w:rPr>
                <w:rFonts w:ascii="Times New Roman" w:eastAsia="Times New Roman" w:hAnsi="Times New Roman"/>
                <w:lang w:eastAsia="pl-PL"/>
              </w:rPr>
              <w:t>ielęgniarstwo w zagrożeniu życia.</w:t>
            </w:r>
          </w:p>
        </w:tc>
      </w:tr>
      <w:tr w:rsidR="00B47D68" w:rsidRPr="00E42DC4" w14:paraId="0C9E20BC" w14:textId="77777777" w:rsidTr="007F3E80">
        <w:trPr>
          <w:trHeight w:val="262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04A7" w14:textId="77777777" w:rsidR="00B47D68" w:rsidRPr="00E42DC4" w:rsidRDefault="00B47D68" w:rsidP="00B47D68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>7. Status przedmiotu:</w:t>
            </w:r>
            <w:r w:rsidRPr="00E42DC4">
              <w:rPr>
                <w:sz w:val="22"/>
              </w:rPr>
              <w:t xml:space="preserve"> Obowiązkowy</w:t>
            </w:r>
          </w:p>
        </w:tc>
      </w:tr>
      <w:tr w:rsidR="00B47D68" w:rsidRPr="00E42DC4" w14:paraId="515D53E2" w14:textId="77777777" w:rsidTr="007F3E80">
        <w:trPr>
          <w:trHeight w:val="1922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8A44" w14:textId="77777777" w:rsidR="00B47D68" w:rsidRPr="00E42DC4" w:rsidRDefault="00B47D68" w:rsidP="00B47D68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E42DC4">
              <w:rPr>
                <w:b/>
                <w:sz w:val="22"/>
              </w:rPr>
              <w:t xml:space="preserve">8.  Cel/-e przedmiotu </w:t>
            </w:r>
          </w:p>
          <w:p w14:paraId="1F73F608" w14:textId="77777777" w:rsidR="00B47D68" w:rsidRPr="00E42DC4" w:rsidRDefault="00B47D68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  <w:r w:rsidRPr="00E42DC4">
              <w:rPr>
                <w:sz w:val="22"/>
              </w:rPr>
              <w:t xml:space="preserve">Cele ogólne: </w:t>
            </w:r>
          </w:p>
          <w:p w14:paraId="58551101" w14:textId="77777777" w:rsidR="00B47D68" w:rsidRPr="00E42DC4" w:rsidRDefault="00B47D68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  <w:r w:rsidRPr="00E42DC4">
              <w:rPr>
                <w:sz w:val="22"/>
              </w:rPr>
              <w:t xml:space="preserve">1. Wyrobienie umiejętności przeprowadzenia zabiegów pielęgnacyjnych  świadczonych w OIT i opiece nad chorym  nieprzytomnym.  </w:t>
            </w:r>
          </w:p>
          <w:p w14:paraId="527A3E36" w14:textId="1607D0F9" w:rsidR="00B47D68" w:rsidRDefault="00C614FC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  <w:r w:rsidRPr="00E42DC4">
              <w:rPr>
                <w:sz w:val="22"/>
              </w:rPr>
              <w:t>2.</w:t>
            </w:r>
            <w:r w:rsidR="00B47D68" w:rsidRPr="00E42DC4">
              <w:rPr>
                <w:sz w:val="22"/>
              </w:rPr>
              <w:t>Kształtowanie kompetencji społecznych.</w:t>
            </w:r>
          </w:p>
          <w:p w14:paraId="44E8AC36" w14:textId="2D235F99" w:rsidR="00E42DC4" w:rsidRDefault="00E42DC4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</w:p>
          <w:p w14:paraId="4D6DECB0" w14:textId="77777777" w:rsidR="00E42DC4" w:rsidRPr="00E42DC4" w:rsidRDefault="00E42DC4" w:rsidP="00E42DC4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Efekty uczenia się/odniesienie do efektów uczenia się </w:t>
            </w:r>
            <w:r w:rsidRPr="00E42DC4">
              <w:rPr>
                <w:sz w:val="22"/>
              </w:rPr>
              <w:t xml:space="preserve">zawartych w </w:t>
            </w:r>
            <w:r w:rsidRPr="00E42DC4">
              <w:rPr>
                <w:i/>
                <w:sz w:val="22"/>
              </w:rPr>
              <w:t>(właściwe podkreślić)</w:t>
            </w:r>
            <w:r w:rsidRPr="00E42DC4">
              <w:rPr>
                <w:sz w:val="22"/>
              </w:rPr>
              <w:t xml:space="preserve">: </w:t>
            </w:r>
          </w:p>
          <w:p w14:paraId="0D1E0092" w14:textId="77777777" w:rsidR="00E42DC4" w:rsidRPr="00E42DC4" w:rsidRDefault="00E42DC4" w:rsidP="00E42DC4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E42DC4">
              <w:rPr>
                <w:sz w:val="22"/>
                <w:u w:val="single"/>
              </w:rPr>
              <w:t>standardach kształcenia (Rozporządzenie Ministra Nauki i Szkolnictwa Wyższego)</w:t>
            </w:r>
            <w:r w:rsidRPr="00E42DC4">
              <w:rPr>
                <w:sz w:val="22"/>
              </w:rPr>
              <w:t xml:space="preserve">/Uchwale Senatu SUM </w:t>
            </w:r>
            <w:r w:rsidRPr="00E42DC4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41172B1A" w14:textId="4FDCBD31" w:rsidR="00E42DC4" w:rsidRDefault="00E42DC4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w zakresie wiedzy student zna i rozumie:</w:t>
            </w:r>
          </w:p>
          <w:p w14:paraId="6252D23F" w14:textId="1A69349A" w:rsidR="00E42DC4" w:rsidRDefault="00E42DC4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w zakresie umiejętności student potrafi:</w:t>
            </w:r>
          </w:p>
          <w:p w14:paraId="5113CA97" w14:textId="4F85E230" w:rsidR="00E42DC4" w:rsidRPr="00E42DC4" w:rsidRDefault="00E42DC4" w:rsidP="00B47D68">
            <w:pPr>
              <w:spacing w:after="0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w zakresie kompetencji społecznych student jest gotów do:</w:t>
            </w:r>
          </w:p>
          <w:p w14:paraId="0F2F88C0" w14:textId="7F8B73F2" w:rsidR="00C614FC" w:rsidRPr="00E42DC4" w:rsidRDefault="00C614FC" w:rsidP="00C614FC">
            <w:pPr>
              <w:pStyle w:val="Default"/>
              <w:jc w:val="both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>Punkt 1.3 ogólnych efektów uczenia się - kierowania się dobrem pacjenta, poszanowania godności i</w:t>
            </w:r>
            <w:r w:rsidR="007F3E80">
              <w:rPr>
                <w:sz w:val="22"/>
                <w:szCs w:val="22"/>
              </w:rPr>
              <w:t> </w:t>
            </w:r>
            <w:r w:rsidRPr="00E42DC4">
              <w:rPr>
                <w:sz w:val="22"/>
                <w:szCs w:val="22"/>
              </w:rPr>
              <w:t>autonomii osób powierzonych opiece, okazywania zrozumienia dla różnic światopoglądowych i</w:t>
            </w:r>
            <w:r w:rsidR="007F3E80">
              <w:rPr>
                <w:sz w:val="22"/>
                <w:szCs w:val="22"/>
              </w:rPr>
              <w:t> </w:t>
            </w:r>
            <w:r w:rsidRPr="00E42DC4">
              <w:rPr>
                <w:sz w:val="22"/>
                <w:szCs w:val="22"/>
              </w:rPr>
              <w:t xml:space="preserve">kulturowych oraz empatii w relacji z pacjentem i jego rodziną; </w:t>
            </w:r>
          </w:p>
          <w:p w14:paraId="36B17835" w14:textId="1D631968" w:rsidR="00B47D68" w:rsidRPr="00E42DC4" w:rsidRDefault="00C614FC" w:rsidP="00E42DC4">
            <w:pPr>
              <w:spacing w:after="0" w:line="240" w:lineRule="auto"/>
              <w:ind w:left="0" w:firstLine="0"/>
              <w:rPr>
                <w:sz w:val="22"/>
              </w:rPr>
            </w:pPr>
            <w:r w:rsidRPr="00E42DC4">
              <w:rPr>
                <w:sz w:val="22"/>
              </w:rPr>
              <w:t xml:space="preserve">Punkt 1.3 ogólnych efektów uczenia się - przestrzegania praw pacjenta. </w:t>
            </w:r>
          </w:p>
        </w:tc>
      </w:tr>
      <w:tr w:rsidR="00B47D68" w:rsidRPr="00E42DC4" w14:paraId="4ECF4437" w14:textId="77777777" w:rsidTr="007F3E80">
        <w:trPr>
          <w:trHeight w:val="51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DBA6" w14:textId="77777777" w:rsidR="00B47D68" w:rsidRPr="00E42DC4" w:rsidRDefault="00B47D68" w:rsidP="00B47D68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621AEA" w14:textId="77777777" w:rsidR="00B47D68" w:rsidRPr="00E42DC4" w:rsidRDefault="00B47D68" w:rsidP="00B47D68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 80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51E9" w14:textId="77777777" w:rsidR="00B47D68" w:rsidRPr="00E42DC4" w:rsidRDefault="00B47D68" w:rsidP="00B47D68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DE61564" w14:textId="77777777" w:rsidR="00B47D68" w:rsidRPr="00E42DC4" w:rsidRDefault="00B47D68" w:rsidP="00B47D68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E42DC4">
              <w:rPr>
                <w:b/>
                <w:sz w:val="22"/>
              </w:rPr>
              <w:t>3</w:t>
            </w:r>
          </w:p>
        </w:tc>
      </w:tr>
      <w:tr w:rsidR="00B47D68" w:rsidRPr="00E42DC4" w14:paraId="36BF96FC" w14:textId="77777777" w:rsidTr="007F3E80">
        <w:trPr>
          <w:trHeight w:val="266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D63D" w14:textId="77777777" w:rsidR="00B47D68" w:rsidRPr="00E42DC4" w:rsidRDefault="00B47D68" w:rsidP="00B47D68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11. Forma zaliczenia przedmiotu: </w:t>
            </w:r>
            <w:r w:rsidRPr="00E42DC4">
              <w:rPr>
                <w:sz w:val="22"/>
              </w:rPr>
              <w:t>zaliczenie</w:t>
            </w:r>
            <w:r w:rsidRPr="00E42DC4">
              <w:rPr>
                <w:b/>
                <w:i/>
                <w:sz w:val="22"/>
              </w:rPr>
              <w:t xml:space="preserve"> </w:t>
            </w:r>
          </w:p>
        </w:tc>
      </w:tr>
      <w:tr w:rsidR="00B47D68" w:rsidRPr="00E42DC4" w14:paraId="584ADE59" w14:textId="77777777" w:rsidTr="007F3E80">
        <w:trPr>
          <w:trHeight w:val="259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101D8F" w14:textId="77777777" w:rsidR="00B47D68" w:rsidRPr="00E42DC4" w:rsidRDefault="00B47D68" w:rsidP="00B47D68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42DC4">
              <w:rPr>
                <w:b/>
                <w:sz w:val="22"/>
              </w:rPr>
              <w:t xml:space="preserve">12. Sposoby weryfikacji i oceny efektów uczenia się  </w:t>
            </w:r>
          </w:p>
        </w:tc>
      </w:tr>
    </w:tbl>
    <w:tbl>
      <w:tblPr>
        <w:tblStyle w:val="TableNormal"/>
        <w:tblW w:w="949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256"/>
        <w:gridCol w:w="3130"/>
        <w:gridCol w:w="3112"/>
      </w:tblGrid>
      <w:tr w:rsidR="00D44DB6" w:rsidRPr="00E42DC4" w14:paraId="6D624F66" w14:textId="77777777" w:rsidTr="00D953BC">
        <w:trPr>
          <w:trHeight w:val="241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4B40EFA5" w14:textId="77777777" w:rsidR="00D44DB6" w:rsidRPr="00E42DC4" w:rsidRDefault="00D44DB6" w:rsidP="00D75CF6">
            <w:pPr>
              <w:spacing w:after="0" w:line="259" w:lineRule="auto"/>
              <w:ind w:left="8" w:right="0" w:firstLine="0"/>
              <w:jc w:val="center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15367BB0" w14:textId="77777777" w:rsidR="00D44DB6" w:rsidRPr="00E42DC4" w:rsidRDefault="00D44DB6" w:rsidP="00D75CF6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6633D43F" w14:textId="77777777" w:rsidR="00D44DB6" w:rsidRPr="00E42DC4" w:rsidRDefault="00D44DB6" w:rsidP="00D75CF6">
            <w:pPr>
              <w:spacing w:after="0" w:line="259" w:lineRule="auto"/>
              <w:ind w:left="24" w:right="0" w:firstLine="0"/>
              <w:jc w:val="center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D44DB6" w:rsidRPr="00E42DC4" w14:paraId="497446A2" w14:textId="77777777" w:rsidTr="00D953BC">
        <w:trPr>
          <w:trHeight w:val="31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F8CE613" w14:textId="77777777" w:rsidR="00D44DB6" w:rsidRPr="00E42DC4" w:rsidRDefault="00D44DB6" w:rsidP="00D75CF6">
            <w:pPr>
              <w:spacing w:after="0" w:line="259" w:lineRule="auto"/>
              <w:ind w:left="14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0B636802" w14:textId="77777777" w:rsidR="00D44DB6" w:rsidRPr="00E42DC4" w:rsidRDefault="00D44DB6" w:rsidP="00D75CF6">
            <w:pPr>
              <w:spacing w:after="0" w:line="259" w:lineRule="auto"/>
              <w:ind w:left="62" w:right="0" w:firstLine="0"/>
              <w:jc w:val="center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 *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7F99C700" w14:textId="77777777" w:rsidR="00D44DB6" w:rsidRPr="00E42DC4" w:rsidRDefault="00D44DB6" w:rsidP="00D75CF6">
            <w:pPr>
              <w:spacing w:after="0" w:line="259" w:lineRule="auto"/>
              <w:ind w:left="17" w:right="0" w:firstLine="0"/>
              <w:jc w:val="center"/>
              <w:rPr>
                <w:sz w:val="22"/>
                <w:szCs w:val="22"/>
              </w:rPr>
            </w:pPr>
            <w:r w:rsidRPr="00E42DC4">
              <w:rPr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D44DB6" w:rsidRPr="00E42DC4" w14:paraId="354CEF0C" w14:textId="77777777" w:rsidTr="00D953BC">
        <w:trPr>
          <w:trHeight w:val="300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CC6839B" w14:textId="74C87513" w:rsidR="00D44DB6" w:rsidRPr="00E42DC4" w:rsidRDefault="00D44DB6" w:rsidP="00D75CF6">
            <w:pPr>
              <w:spacing w:after="0" w:line="259" w:lineRule="auto"/>
              <w:ind w:left="14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W zakresie </w:t>
            </w:r>
            <w:proofErr w:type="spellStart"/>
            <w:r w:rsidRPr="00E42DC4">
              <w:rPr>
                <w:sz w:val="22"/>
                <w:szCs w:val="22"/>
              </w:rPr>
              <w:t>umiej</w:t>
            </w:r>
            <w:r w:rsidR="00E42DC4">
              <w:rPr>
                <w:sz w:val="22"/>
                <w:szCs w:val="22"/>
              </w:rPr>
              <w:t>ę</w:t>
            </w:r>
            <w:r w:rsidRPr="00E42DC4">
              <w:rPr>
                <w:sz w:val="22"/>
                <w:szCs w:val="22"/>
              </w:rPr>
              <w:t>tnoś</w:t>
            </w:r>
            <w:proofErr w:type="spellEnd"/>
            <w:r w:rsidRPr="00E42DC4">
              <w:rPr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811D" w14:textId="77777777" w:rsidR="00D44DB6" w:rsidRPr="00E42DC4" w:rsidRDefault="00D44DB6" w:rsidP="00D75CF6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 Obserwacja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F6D0B08" w14:textId="77777777" w:rsidR="00D44DB6" w:rsidRPr="00E42DC4" w:rsidRDefault="00D44DB6" w:rsidP="00D75CF6">
            <w:pPr>
              <w:spacing w:after="0" w:line="259" w:lineRule="auto"/>
              <w:ind w:left="17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>Zaliczenie</w:t>
            </w:r>
          </w:p>
        </w:tc>
      </w:tr>
      <w:tr w:rsidR="00D44DB6" w:rsidRPr="00E42DC4" w14:paraId="78B2884E" w14:textId="77777777" w:rsidTr="00D953BC">
        <w:trPr>
          <w:trHeight w:val="318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37B8197" w14:textId="77777777" w:rsidR="00D44DB6" w:rsidRPr="00E42DC4" w:rsidRDefault="00D44DB6" w:rsidP="00D75CF6">
            <w:pPr>
              <w:spacing w:after="0" w:line="259" w:lineRule="auto"/>
              <w:ind w:left="14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5CB8" w14:textId="77777777" w:rsidR="00D44DB6" w:rsidRPr="00E42DC4" w:rsidRDefault="00D44DB6" w:rsidP="00D75CF6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sz w:val="22"/>
                <w:szCs w:val="22"/>
              </w:rPr>
              <w:t xml:space="preserve"> Obserwacja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451CB0AC" w14:textId="77777777" w:rsidR="00D44DB6" w:rsidRPr="00E42DC4" w:rsidRDefault="00D44DB6" w:rsidP="00D75CF6">
            <w:pPr>
              <w:spacing w:after="0" w:line="259" w:lineRule="auto"/>
              <w:ind w:left="17" w:right="0" w:firstLine="0"/>
              <w:jc w:val="left"/>
              <w:rPr>
                <w:sz w:val="22"/>
                <w:szCs w:val="22"/>
              </w:rPr>
            </w:pPr>
            <w:r w:rsidRPr="00E42DC4">
              <w:rPr>
                <w:b/>
                <w:bCs/>
                <w:sz w:val="22"/>
                <w:szCs w:val="22"/>
              </w:rPr>
              <w:t xml:space="preserve"> </w:t>
            </w:r>
            <w:r w:rsidRPr="00E42DC4">
              <w:rPr>
                <w:sz w:val="22"/>
                <w:szCs w:val="22"/>
              </w:rPr>
              <w:t>Zaliczenie</w:t>
            </w:r>
          </w:p>
        </w:tc>
      </w:tr>
    </w:tbl>
    <w:p w14:paraId="7423FFA9" w14:textId="77777777" w:rsidR="00D44DB6" w:rsidRPr="00E42DC4" w:rsidRDefault="00D44DB6" w:rsidP="00D44DB6">
      <w:pPr>
        <w:spacing w:after="308" w:line="259" w:lineRule="auto"/>
        <w:ind w:left="341" w:right="0" w:firstLine="0"/>
        <w:jc w:val="left"/>
        <w:rPr>
          <w:sz w:val="22"/>
        </w:rPr>
      </w:pPr>
      <w:r w:rsidRPr="00E42DC4">
        <w:rPr>
          <w:sz w:val="22"/>
        </w:rPr>
        <w:t xml:space="preserve"> </w:t>
      </w:r>
      <w:r w:rsidRPr="00E42DC4">
        <w:rPr>
          <w:b/>
          <w:bCs/>
          <w:sz w:val="22"/>
        </w:rPr>
        <w:t>*</w:t>
      </w:r>
      <w:r w:rsidRPr="00E42DC4">
        <w:rPr>
          <w:sz w:val="22"/>
        </w:rPr>
        <w:t xml:space="preserve"> w przypadku egzaminu/zaliczenia na ocenę zakłada się, że ocena oznacza na poziomie: </w:t>
      </w:r>
    </w:p>
    <w:p w14:paraId="2413E2D1" w14:textId="77777777" w:rsidR="00D44DB6" w:rsidRPr="00E42DC4" w:rsidRDefault="00D44DB6" w:rsidP="00D44DB6">
      <w:pPr>
        <w:spacing w:after="5" w:line="254" w:lineRule="auto"/>
        <w:ind w:left="336" w:right="911"/>
        <w:jc w:val="left"/>
        <w:rPr>
          <w:sz w:val="22"/>
        </w:rPr>
      </w:pPr>
      <w:r w:rsidRPr="00E42DC4">
        <w:rPr>
          <w:b/>
          <w:bCs/>
          <w:sz w:val="22"/>
        </w:rPr>
        <w:t>Bardzo dobry (5,0)</w:t>
      </w:r>
      <w:r w:rsidRPr="00E42DC4">
        <w:rPr>
          <w:sz w:val="22"/>
        </w:rPr>
        <w:t xml:space="preserve"> - zakładane efekty uczenia się zostały osią</w:t>
      </w:r>
      <w:r w:rsidRPr="00E42DC4">
        <w:rPr>
          <w:sz w:val="22"/>
          <w:lang w:val="it-IT"/>
        </w:rPr>
        <w:t>gni</w:t>
      </w:r>
      <w:proofErr w:type="spellStart"/>
      <w:r w:rsidRPr="00E42DC4">
        <w:rPr>
          <w:sz w:val="22"/>
        </w:rPr>
        <w:t>ęte</w:t>
      </w:r>
      <w:proofErr w:type="spellEnd"/>
      <w:r w:rsidRPr="00E42DC4">
        <w:rPr>
          <w:sz w:val="22"/>
        </w:rPr>
        <w:t xml:space="preserve"> i znacznym stopniu przekraczają wymagany poziom </w:t>
      </w:r>
    </w:p>
    <w:p w14:paraId="29F13F79" w14:textId="77777777" w:rsidR="00D44DB6" w:rsidRPr="00E42DC4" w:rsidRDefault="00D44DB6" w:rsidP="00D44DB6">
      <w:pPr>
        <w:spacing w:after="5" w:line="254" w:lineRule="auto"/>
        <w:ind w:left="336" w:right="911"/>
        <w:jc w:val="left"/>
        <w:rPr>
          <w:sz w:val="22"/>
        </w:rPr>
      </w:pPr>
      <w:r w:rsidRPr="00E42DC4">
        <w:rPr>
          <w:b/>
          <w:bCs/>
          <w:sz w:val="22"/>
        </w:rPr>
        <w:t>Ponad dobry (4,5)</w:t>
      </w:r>
      <w:r w:rsidRPr="00E42DC4">
        <w:rPr>
          <w:sz w:val="22"/>
        </w:rPr>
        <w:t xml:space="preserve"> - zakładane efekty uczenia się zostały osią</w:t>
      </w:r>
      <w:r w:rsidRPr="00E42DC4">
        <w:rPr>
          <w:sz w:val="22"/>
          <w:lang w:val="it-IT"/>
        </w:rPr>
        <w:t>gni</w:t>
      </w:r>
      <w:proofErr w:type="spellStart"/>
      <w:r w:rsidRPr="00E42DC4">
        <w:rPr>
          <w:sz w:val="22"/>
        </w:rPr>
        <w:t>ęte</w:t>
      </w:r>
      <w:proofErr w:type="spellEnd"/>
      <w:r w:rsidRPr="00E42DC4">
        <w:rPr>
          <w:sz w:val="22"/>
        </w:rPr>
        <w:t xml:space="preserve"> i w niewielkim stopniu przekraczają wymagany poziom </w:t>
      </w:r>
    </w:p>
    <w:p w14:paraId="271CCCBD" w14:textId="77777777" w:rsidR="00D44DB6" w:rsidRPr="00E42DC4" w:rsidRDefault="00D44DB6" w:rsidP="00D44DB6">
      <w:pPr>
        <w:spacing w:after="33" w:line="254" w:lineRule="auto"/>
        <w:ind w:left="336" w:right="911"/>
        <w:jc w:val="left"/>
        <w:rPr>
          <w:sz w:val="22"/>
        </w:rPr>
      </w:pPr>
      <w:r w:rsidRPr="00E42DC4">
        <w:rPr>
          <w:b/>
          <w:bCs/>
          <w:sz w:val="22"/>
        </w:rPr>
        <w:t>Dobry (4,0)</w:t>
      </w:r>
      <w:r w:rsidRPr="00E42DC4">
        <w:rPr>
          <w:sz w:val="22"/>
        </w:rPr>
        <w:t xml:space="preserve"> – zakładane efekty uczenia się zostały osią</w:t>
      </w:r>
      <w:r w:rsidRPr="00E42DC4">
        <w:rPr>
          <w:sz w:val="22"/>
          <w:lang w:val="it-IT"/>
        </w:rPr>
        <w:t>gni</w:t>
      </w:r>
      <w:proofErr w:type="spellStart"/>
      <w:r w:rsidRPr="00E42DC4">
        <w:rPr>
          <w:sz w:val="22"/>
        </w:rPr>
        <w:t>ęte</w:t>
      </w:r>
      <w:proofErr w:type="spellEnd"/>
      <w:r w:rsidRPr="00E42DC4">
        <w:rPr>
          <w:sz w:val="22"/>
        </w:rPr>
        <w:t xml:space="preserve"> na wymaganym poziomie </w:t>
      </w:r>
    </w:p>
    <w:p w14:paraId="16E748F4" w14:textId="77777777" w:rsidR="00D44DB6" w:rsidRPr="00E42DC4" w:rsidRDefault="00D44DB6" w:rsidP="00D44DB6">
      <w:pPr>
        <w:spacing w:after="5" w:line="254" w:lineRule="auto"/>
        <w:ind w:left="336" w:right="911"/>
        <w:jc w:val="left"/>
        <w:rPr>
          <w:sz w:val="22"/>
        </w:rPr>
      </w:pPr>
      <w:r w:rsidRPr="00E42DC4">
        <w:rPr>
          <w:b/>
          <w:bCs/>
          <w:sz w:val="22"/>
        </w:rPr>
        <w:t>Dość dobry (3,5)</w:t>
      </w:r>
      <w:r w:rsidRPr="00E42DC4">
        <w:rPr>
          <w:sz w:val="22"/>
        </w:rPr>
        <w:t xml:space="preserve"> – zakładane efekty uczenia się zostały osią</w:t>
      </w:r>
      <w:r w:rsidRPr="00E42DC4">
        <w:rPr>
          <w:sz w:val="22"/>
          <w:lang w:val="it-IT"/>
        </w:rPr>
        <w:t>gni</w:t>
      </w:r>
      <w:proofErr w:type="spellStart"/>
      <w:r w:rsidRPr="00E42DC4">
        <w:rPr>
          <w:sz w:val="22"/>
        </w:rPr>
        <w:t>ęte</w:t>
      </w:r>
      <w:proofErr w:type="spellEnd"/>
      <w:r w:rsidRPr="00E42DC4">
        <w:rPr>
          <w:sz w:val="22"/>
        </w:rPr>
        <w:t xml:space="preserve"> na średnim wymaganym poziomie </w:t>
      </w:r>
      <w:r w:rsidRPr="00E42DC4">
        <w:rPr>
          <w:b/>
          <w:bCs/>
          <w:sz w:val="22"/>
        </w:rPr>
        <w:t>Dostateczny (3,0)</w:t>
      </w:r>
      <w:r w:rsidRPr="00E42DC4">
        <w:rPr>
          <w:sz w:val="22"/>
        </w:rPr>
        <w:t xml:space="preserve"> - zakładane efekty uczenia się zostały osią</w:t>
      </w:r>
      <w:r w:rsidRPr="00E42DC4">
        <w:rPr>
          <w:sz w:val="22"/>
          <w:lang w:val="it-IT"/>
        </w:rPr>
        <w:t>gni</w:t>
      </w:r>
      <w:proofErr w:type="spellStart"/>
      <w:r w:rsidRPr="00E42DC4">
        <w:rPr>
          <w:sz w:val="22"/>
        </w:rPr>
        <w:t>ęte</w:t>
      </w:r>
      <w:proofErr w:type="spellEnd"/>
      <w:r w:rsidRPr="00E42DC4">
        <w:rPr>
          <w:sz w:val="22"/>
        </w:rPr>
        <w:t xml:space="preserve"> na minimalnym wymaganym poziomie </w:t>
      </w:r>
    </w:p>
    <w:p w14:paraId="1CA6AD72" w14:textId="178D3193" w:rsidR="008050C4" w:rsidRDefault="00D44DB6" w:rsidP="00411ADC">
      <w:pPr>
        <w:spacing w:after="5" w:line="254" w:lineRule="auto"/>
        <w:ind w:left="336" w:right="911"/>
        <w:jc w:val="left"/>
        <w:rPr>
          <w:sz w:val="22"/>
        </w:rPr>
      </w:pPr>
      <w:r w:rsidRPr="00E42DC4">
        <w:rPr>
          <w:b/>
          <w:bCs/>
          <w:sz w:val="22"/>
        </w:rPr>
        <w:t>Niedostateczny (2,0)</w:t>
      </w:r>
      <w:r w:rsidRPr="00E42DC4">
        <w:rPr>
          <w:sz w:val="22"/>
        </w:rPr>
        <w:t xml:space="preserve"> – zakładane efekty uczenia się nie zostały uzyskane.</w:t>
      </w:r>
    </w:p>
    <w:p w14:paraId="1EB383C2" w14:textId="67D27B85" w:rsidR="008952D8" w:rsidRDefault="008952D8" w:rsidP="00411ADC">
      <w:pPr>
        <w:spacing w:after="5" w:line="254" w:lineRule="auto"/>
        <w:ind w:left="336" w:right="911"/>
        <w:jc w:val="left"/>
        <w:rPr>
          <w:sz w:val="22"/>
        </w:rPr>
      </w:pPr>
    </w:p>
    <w:p w14:paraId="10D9998D" w14:textId="06E46FD9" w:rsidR="008952D8" w:rsidRDefault="008952D8" w:rsidP="00411ADC">
      <w:pPr>
        <w:spacing w:after="5" w:line="254" w:lineRule="auto"/>
        <w:ind w:left="336" w:right="911"/>
        <w:jc w:val="left"/>
        <w:rPr>
          <w:sz w:val="22"/>
        </w:rPr>
      </w:pPr>
    </w:p>
    <w:p w14:paraId="04A37F19" w14:textId="0F4F9C74" w:rsidR="008952D8" w:rsidRDefault="008952D8" w:rsidP="00411ADC">
      <w:pPr>
        <w:spacing w:after="5" w:line="254" w:lineRule="auto"/>
        <w:ind w:left="336" w:right="911"/>
        <w:jc w:val="left"/>
        <w:rPr>
          <w:sz w:val="22"/>
        </w:rPr>
      </w:pPr>
    </w:p>
    <w:p w14:paraId="7C31D4B8" w14:textId="1EBA9B18" w:rsidR="008952D8" w:rsidRDefault="008952D8" w:rsidP="00411ADC">
      <w:pPr>
        <w:spacing w:after="5" w:line="254" w:lineRule="auto"/>
        <w:ind w:left="336" w:right="911"/>
        <w:jc w:val="left"/>
        <w:rPr>
          <w:sz w:val="22"/>
        </w:rPr>
      </w:pPr>
    </w:p>
    <w:p w14:paraId="68AA3743" w14:textId="77777777" w:rsidR="008952D8" w:rsidRPr="00A91320" w:rsidRDefault="008952D8" w:rsidP="008952D8">
      <w:pPr>
        <w:pStyle w:val="Nagwek1"/>
        <w:ind w:right="611"/>
      </w:pPr>
      <w:r w:rsidRPr="00A91320">
        <w:lastRenderedPageBreak/>
        <w:t xml:space="preserve">Karta przedmiotu - praktyka zawodowa Cz. 2 </w:t>
      </w:r>
    </w:p>
    <w:tbl>
      <w:tblPr>
        <w:tblStyle w:val="TableGrid"/>
        <w:tblW w:w="9497" w:type="dxa"/>
        <w:tblInd w:w="421" w:type="dxa"/>
        <w:tblLayout w:type="fixed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701"/>
        <w:gridCol w:w="355"/>
        <w:gridCol w:w="5031"/>
        <w:gridCol w:w="1418"/>
        <w:gridCol w:w="992"/>
      </w:tblGrid>
      <w:tr w:rsidR="008952D8" w:rsidRPr="008952D8" w14:paraId="3A2931A0" w14:textId="77777777" w:rsidTr="00D336B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16E3AC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Inne przydatne informacje o przedmiocie </w:t>
            </w:r>
          </w:p>
        </w:tc>
        <w:bookmarkStart w:id="0" w:name="_GoBack"/>
        <w:bookmarkEnd w:id="0"/>
      </w:tr>
      <w:tr w:rsidR="008952D8" w:rsidRPr="008952D8" w14:paraId="3DCA8AA9" w14:textId="77777777" w:rsidTr="00D336B1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8F6E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>13. Jednostka realizująca przedmiot,</w:t>
            </w:r>
            <w:r w:rsidRPr="008952D8">
              <w:rPr>
                <w:sz w:val="22"/>
              </w:rPr>
              <w:t xml:space="preserve"> </w:t>
            </w:r>
            <w:r w:rsidRPr="008952D8">
              <w:rPr>
                <w:b/>
                <w:sz w:val="22"/>
              </w:rPr>
              <w:t xml:space="preserve">adres, e-mail: </w:t>
            </w:r>
          </w:p>
          <w:p w14:paraId="0EC853AB" w14:textId="77777777" w:rsidR="008952D8" w:rsidRPr="008952D8" w:rsidRDefault="008952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952D8">
              <w:rPr>
                <w:rFonts w:ascii="Times New Roman" w:hAnsi="Times New Roman"/>
              </w:rPr>
              <w:t>Katedra Anestezjologii i Intensywnej Terapii</w:t>
            </w:r>
          </w:p>
          <w:p w14:paraId="363E7F65" w14:textId="77777777" w:rsidR="008952D8" w:rsidRPr="008952D8" w:rsidRDefault="008952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952D8">
              <w:rPr>
                <w:rFonts w:ascii="Times New Roman" w:hAnsi="Times New Roman"/>
              </w:rPr>
              <w:t>Zakład Anestezjologii Klinicznej</w:t>
            </w:r>
          </w:p>
          <w:p w14:paraId="16AA08FB" w14:textId="77777777" w:rsidR="008952D8" w:rsidRPr="008952D8" w:rsidRDefault="008952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952D8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8952D8">
              <w:rPr>
                <w:rFonts w:ascii="Times New Roman" w:hAnsi="Times New Roman"/>
              </w:rPr>
              <w:t>WNoZ</w:t>
            </w:r>
            <w:proofErr w:type="spellEnd"/>
            <w:r w:rsidRPr="008952D8">
              <w:rPr>
                <w:rFonts w:ascii="Times New Roman" w:hAnsi="Times New Roman"/>
              </w:rPr>
              <w:t xml:space="preserve"> w Katowicach</w:t>
            </w:r>
          </w:p>
          <w:p w14:paraId="14273D02" w14:textId="77777777" w:rsidR="008952D8" w:rsidRPr="008952D8" w:rsidRDefault="008952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952D8">
              <w:rPr>
                <w:rFonts w:ascii="Times New Roman" w:hAnsi="Times New Roman"/>
              </w:rPr>
              <w:t>Ul. Medyków12; 40-752 Katowice</w:t>
            </w:r>
          </w:p>
          <w:p w14:paraId="405C3591" w14:textId="77777777" w:rsidR="008952D8" w:rsidRPr="008952D8" w:rsidRDefault="008952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952D8">
              <w:rPr>
                <w:rFonts w:ascii="Times New Roman" w:hAnsi="Times New Roman"/>
              </w:rPr>
              <w:t xml:space="preserve">www: </w:t>
            </w:r>
            <w:hyperlink r:id="rId7" w:history="1">
              <w:r w:rsidRPr="008952D8">
                <w:rPr>
                  <w:rFonts w:ascii="Times New Roman" w:hAnsi="Times New Roman"/>
                  <w:color w:val="0000FF"/>
                  <w:u w:val="single"/>
                </w:rPr>
                <w:t>http://anest.wnoz.sum.edu.pl</w:t>
              </w:r>
            </w:hyperlink>
          </w:p>
          <w:p w14:paraId="2C7FCC3A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anest@sum.edu.pl</w:t>
            </w:r>
          </w:p>
        </w:tc>
      </w:tr>
      <w:tr w:rsidR="008952D8" w:rsidRPr="008952D8" w14:paraId="003169B6" w14:textId="77777777" w:rsidTr="00D336B1">
        <w:trPr>
          <w:trHeight w:val="624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5B13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14. Imię i nazwisko opiekuna praktyki zawodowej </w:t>
            </w:r>
          </w:p>
          <w:p w14:paraId="2650AE0A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Dr n. med. i n. o </w:t>
            </w:r>
            <w:proofErr w:type="spellStart"/>
            <w:r w:rsidRPr="008952D8">
              <w:rPr>
                <w:sz w:val="22"/>
              </w:rPr>
              <w:t>zdr</w:t>
            </w:r>
            <w:proofErr w:type="spellEnd"/>
            <w:r w:rsidRPr="008952D8">
              <w:rPr>
                <w:sz w:val="22"/>
              </w:rPr>
              <w:t>.  Aleksandra Romańska</w:t>
            </w:r>
          </w:p>
        </w:tc>
      </w:tr>
      <w:tr w:rsidR="008952D8" w:rsidRPr="008952D8" w14:paraId="32A391AA" w14:textId="77777777" w:rsidTr="00D336B1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27D0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61510EFC" w14:textId="77777777" w:rsidR="008952D8" w:rsidRPr="008952D8" w:rsidRDefault="008952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952D8">
              <w:rPr>
                <w:rFonts w:ascii="Times New Roman" w:hAnsi="Times New Roman"/>
                <w:b/>
              </w:rPr>
              <w:t xml:space="preserve"> </w:t>
            </w:r>
            <w:r w:rsidRPr="008952D8">
              <w:rPr>
                <w:rFonts w:ascii="Times New Roman" w:hAnsi="Times New Roman"/>
              </w:rPr>
              <w:t>1. Wiedza z zakresu podstaw pielęgniarstwa.</w:t>
            </w:r>
          </w:p>
          <w:p w14:paraId="7DB8B924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 2. Podstawowa wiedza z zakresu anatomii i fizjologii człowieka.</w:t>
            </w:r>
          </w:p>
        </w:tc>
      </w:tr>
      <w:tr w:rsidR="008952D8" w:rsidRPr="008952D8" w14:paraId="31F777B0" w14:textId="77777777" w:rsidTr="00D336B1">
        <w:trPr>
          <w:trHeight w:val="265"/>
        </w:trPr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FCB3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45FA" w14:textId="77777777" w:rsidR="008952D8" w:rsidRPr="008952D8" w:rsidRDefault="008952D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Zgodna z Zarządzeniem Rektora SUM </w:t>
            </w:r>
          </w:p>
        </w:tc>
      </w:tr>
      <w:tr w:rsidR="008952D8" w:rsidRPr="008952D8" w14:paraId="483D4797" w14:textId="77777777" w:rsidTr="00D336B1">
        <w:trPr>
          <w:trHeight w:val="264"/>
        </w:trPr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7C0B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9B6D" w14:textId="77777777" w:rsidR="008952D8" w:rsidRPr="008952D8" w:rsidRDefault="008952D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Podręczniki dotyczące anestezjologii i wentylacji mechanicznej.</w:t>
            </w:r>
          </w:p>
        </w:tc>
      </w:tr>
      <w:tr w:rsidR="008952D8" w:rsidRPr="008952D8" w14:paraId="28F0C277" w14:textId="77777777" w:rsidTr="00D336B1">
        <w:trPr>
          <w:trHeight w:val="516"/>
        </w:trPr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3F07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D1DA" w14:textId="77777777" w:rsidR="008952D8" w:rsidRPr="008952D8" w:rsidRDefault="008952D8" w:rsidP="00DA087A">
            <w:pPr>
              <w:spacing w:after="0" w:line="240" w:lineRule="auto"/>
              <w:ind w:left="0" w:firstLine="0"/>
              <w:rPr>
                <w:sz w:val="22"/>
              </w:rPr>
            </w:pPr>
            <w:r w:rsidRPr="008952D8">
              <w:rPr>
                <w:sz w:val="22"/>
              </w:rPr>
              <w:t xml:space="preserve">Odział Anestezjologii i Intensywnej Terapii, </w:t>
            </w:r>
          </w:p>
          <w:p w14:paraId="55B557A9" w14:textId="77777777" w:rsidR="008952D8" w:rsidRPr="008952D8" w:rsidRDefault="008952D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Blok Operacyjny,</w:t>
            </w:r>
          </w:p>
        </w:tc>
      </w:tr>
      <w:tr w:rsidR="008952D8" w:rsidRPr="008952D8" w14:paraId="1ACFE529" w14:textId="77777777" w:rsidTr="00D336B1">
        <w:trPr>
          <w:trHeight w:val="517"/>
        </w:trPr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216D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7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3667" w14:textId="77777777" w:rsidR="008952D8" w:rsidRPr="008952D8" w:rsidRDefault="008952D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Tablica ogłoszeń - Zakład Anestezjologii i Intensywnej Opieki Pielęgniarskiej </w:t>
            </w:r>
            <w:proofErr w:type="spellStart"/>
            <w:r w:rsidRPr="008952D8">
              <w:rPr>
                <w:sz w:val="22"/>
              </w:rPr>
              <w:t>WNoZ</w:t>
            </w:r>
            <w:proofErr w:type="spellEnd"/>
            <w:r w:rsidRPr="008952D8">
              <w:rPr>
                <w:sz w:val="22"/>
              </w:rPr>
              <w:t xml:space="preserve"> w Katowicach</w:t>
            </w:r>
          </w:p>
        </w:tc>
      </w:tr>
      <w:tr w:rsidR="008952D8" w:rsidRPr="008952D8" w14:paraId="255744C2" w14:textId="77777777" w:rsidTr="00D336B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72445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>20. Efekty uczenia się</w:t>
            </w:r>
            <w:r w:rsidRPr="008952D8">
              <w:rPr>
                <w:sz w:val="22"/>
              </w:rPr>
              <w:t xml:space="preserve"> </w:t>
            </w:r>
          </w:p>
        </w:tc>
      </w:tr>
      <w:tr w:rsidR="008952D8" w:rsidRPr="008952D8" w14:paraId="3EEAE0BF" w14:textId="77777777" w:rsidTr="00A133F1">
        <w:trPr>
          <w:trHeight w:val="109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8A37" w14:textId="77777777" w:rsidR="008952D8" w:rsidRPr="008952D8" w:rsidRDefault="008952D8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 xml:space="preserve">Numer przedmiotowego </w:t>
            </w:r>
          </w:p>
          <w:p w14:paraId="29C41B40" w14:textId="77777777" w:rsidR="008952D8" w:rsidRPr="008952D8" w:rsidRDefault="008952D8" w:rsidP="00DA087A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 xml:space="preserve">efektu uczenia </w:t>
            </w:r>
          </w:p>
          <w:p w14:paraId="635633B9" w14:textId="77777777" w:rsidR="008952D8" w:rsidRPr="008952D8" w:rsidRDefault="008952D8" w:rsidP="00DA087A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 xml:space="preserve">się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B395D" w14:textId="77777777" w:rsidR="008952D8" w:rsidRPr="008952D8" w:rsidRDefault="008952D8" w:rsidP="00DA087A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99F9" w14:textId="77777777" w:rsidR="008952D8" w:rsidRPr="008952D8" w:rsidRDefault="008952D8" w:rsidP="00DA087A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 xml:space="preserve">Odniesienie do efektów uczenia się zawartych w </w:t>
            </w:r>
            <w:r w:rsidRPr="008952D8">
              <w:rPr>
                <w:i/>
                <w:sz w:val="22"/>
              </w:rPr>
              <w:t>(właściwe podkreślić)</w:t>
            </w:r>
            <w:r w:rsidRPr="008952D8">
              <w:rPr>
                <w:sz w:val="22"/>
              </w:rPr>
              <w:t>:</w:t>
            </w:r>
          </w:p>
          <w:p w14:paraId="6FB3C297" w14:textId="77777777" w:rsidR="008952D8" w:rsidRPr="008952D8" w:rsidRDefault="008952D8" w:rsidP="00DA087A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8952D8">
              <w:rPr>
                <w:sz w:val="22"/>
                <w:u w:val="single"/>
              </w:rPr>
              <w:t>standardach kształcenia</w:t>
            </w:r>
            <w:r w:rsidRPr="008952D8">
              <w:rPr>
                <w:sz w:val="22"/>
              </w:rPr>
              <w:t>/</w:t>
            </w:r>
          </w:p>
          <w:p w14:paraId="5E3D1297" w14:textId="77777777" w:rsidR="008952D8" w:rsidRPr="008952D8" w:rsidRDefault="008952D8" w:rsidP="00DA087A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>zatwierdzonych przez</w:t>
            </w:r>
          </w:p>
          <w:p w14:paraId="67FF0EE2" w14:textId="77777777" w:rsidR="008952D8" w:rsidRPr="008952D8" w:rsidRDefault="008952D8" w:rsidP="00DA087A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8952D8">
              <w:rPr>
                <w:sz w:val="22"/>
              </w:rPr>
              <w:t>Senat SUM</w:t>
            </w:r>
          </w:p>
        </w:tc>
      </w:tr>
      <w:tr w:rsidR="008952D8" w:rsidRPr="008952D8" w14:paraId="45359112" w14:textId="77777777" w:rsidTr="00A133F1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E7C3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P_U01 – P_U017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FEA8" w14:textId="77777777" w:rsidR="008952D8" w:rsidRPr="008952D8" w:rsidRDefault="008952D8" w:rsidP="00DA087A">
            <w:pPr>
              <w:spacing w:after="0" w:line="240" w:lineRule="auto"/>
              <w:ind w:left="0" w:right="73"/>
              <w:rPr>
                <w:sz w:val="22"/>
              </w:rPr>
            </w:pPr>
            <w:r w:rsidRPr="008952D8">
              <w:rPr>
                <w:sz w:val="22"/>
              </w:rPr>
              <w:t>- prowadzić, dokumentować i oceniać bilans płynów pacjenta;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2C34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C.U7.</w:t>
            </w:r>
          </w:p>
        </w:tc>
      </w:tr>
      <w:tr w:rsidR="008952D8" w:rsidRPr="008952D8" w14:paraId="4857F03F" w14:textId="77777777" w:rsidTr="00A133F1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32A3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P_U01 – P_U017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B8C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 xml:space="preserve">- wykonywać pomiar 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WHtR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>, grubości fałdów skórno-tłuszczowych);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FCE0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C.U8.</w:t>
            </w:r>
          </w:p>
        </w:tc>
      </w:tr>
      <w:tr w:rsidR="008952D8" w:rsidRPr="008952D8" w14:paraId="568E0648" w14:textId="77777777" w:rsidTr="00A133F1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76AD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P_U01 – P_U017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CA3B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pobierać materiał do badań laboratoryjnych i mikrobiologicznych oraz asystować lekarzowi przy badaniach diagnostycznych;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E4D2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C.U9.</w:t>
            </w:r>
          </w:p>
        </w:tc>
      </w:tr>
      <w:tr w:rsidR="008952D8" w:rsidRPr="008952D8" w14:paraId="67532AD0" w14:textId="77777777" w:rsidTr="00A133F1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E8A0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P_U01 – P_U017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0E41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zakładać i usuwać cewnik z żył obwodowych, wykonywać kroplowe wlewy dożylne oraz monitorować i pielęgnować miejsce wkłucia obwodowego, wkłucia centralnego i portu naczyniowego;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9C12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C.U15.</w:t>
            </w:r>
          </w:p>
        </w:tc>
      </w:tr>
      <w:tr w:rsidR="008952D8" w:rsidRPr="008952D8" w14:paraId="1BDC171B" w14:textId="77777777" w:rsidTr="00A133F1">
        <w:trPr>
          <w:trHeight w:val="26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E6A51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>P_U01 – P_U017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8FD2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 xml:space="preserve">- wykonywać gimnastykę oddechową i drenaż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ułożeniowy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 xml:space="preserve">,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odśluzowywanie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 xml:space="preserve"> dróg oddechowych i inhalację;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68CC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C.U18.</w:t>
            </w:r>
          </w:p>
        </w:tc>
      </w:tr>
      <w:tr w:rsidR="008952D8" w:rsidRPr="008952D8" w14:paraId="3FFD9819" w14:textId="77777777" w:rsidTr="00A133F1">
        <w:trPr>
          <w:trHeight w:val="262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6F14BD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7DC2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zakładać cewnik do pęcherza moczowego, monitorować diurezę i usuwać cewnik;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7948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C.U24.</w:t>
            </w:r>
          </w:p>
        </w:tc>
      </w:tr>
      <w:tr w:rsidR="008952D8" w:rsidRPr="008952D8" w14:paraId="1EC59754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C0C1DB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F967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zakładać zgłębnik do żołądka oraz monitorować i usuwać zgłębnik;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AE3A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C.U25.</w:t>
            </w:r>
          </w:p>
        </w:tc>
      </w:tr>
      <w:tr w:rsidR="008952D8" w:rsidRPr="008952D8" w14:paraId="5B51A220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4B2418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77F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gromadzić informacje, formułować diagnozę pielęgniarską, ustalać cele i plan opieki pielęgniarskiej, wdrażać interwencje pielęgniarskie oraz dokonywać ewaluacji opieki pielęgniarskiej;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279E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D.U1.</w:t>
            </w:r>
          </w:p>
        </w:tc>
      </w:tr>
      <w:tr w:rsidR="008952D8" w:rsidRPr="008952D8" w14:paraId="19C87D2B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C59BA3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9946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rozpoznawać powikłania po specjalistycznych badaniach diagnostycznych i zabiegach operacyjnych;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0332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D.U8.</w:t>
            </w:r>
          </w:p>
        </w:tc>
      </w:tr>
      <w:tr w:rsidR="008952D8" w:rsidRPr="008952D8" w14:paraId="2EFF5641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69298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9EFE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doraźnie podawać pacjentowi tlen i monitorować jego stan podczas tlenoterapii;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64F1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D.U9.</w:t>
            </w:r>
          </w:p>
        </w:tc>
      </w:tr>
      <w:tr w:rsidR="008952D8" w:rsidRPr="008952D8" w14:paraId="75B013D7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CDA40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8C89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prowadzić u osób dorosłych i dzieci żywienie dojelitowe (przez zgłębnik i 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przetokęodżywczą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>) oraz żywienie pozajelitowe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41F4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D.U17.</w:t>
            </w:r>
          </w:p>
        </w:tc>
      </w:tr>
      <w:tr w:rsidR="008952D8" w:rsidRPr="008952D8" w14:paraId="70E100C2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61603" w14:textId="77777777" w:rsidR="008952D8" w:rsidRPr="008952D8" w:rsidRDefault="008952D8" w:rsidP="00DA087A">
            <w:pPr>
              <w:spacing w:after="0" w:line="259" w:lineRule="auto"/>
              <w:ind w:left="58" w:right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77B7C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pielęgnować pacjenta z przetoką jelitową oraz rurką intubacyjną i tracheotomijną;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0A68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D.U19.</w:t>
            </w:r>
          </w:p>
        </w:tc>
      </w:tr>
      <w:tr w:rsidR="008952D8" w:rsidRPr="008952D8" w14:paraId="5C73E173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E70F89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B463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oceniać poziom bólu, reakcję pacjenta na ból i jego nasilenie oraz stosować farmakologiczne i niefarmakologiczne postępowanie przeciwbólowe;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2DF4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D.U24.</w:t>
            </w:r>
          </w:p>
        </w:tc>
      </w:tr>
      <w:tr w:rsidR="008952D8" w:rsidRPr="008952D8" w14:paraId="41FA36FE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CE3B3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2B95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- przygotowywać i podawać pacjentom leki różnymi drogami, samodzielnie lub na zlecenie lekarza;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E001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D.U26.</w:t>
            </w:r>
          </w:p>
        </w:tc>
      </w:tr>
      <w:tr w:rsidR="008952D8" w:rsidRPr="008952D8" w14:paraId="7D631033" w14:textId="77777777" w:rsidTr="00A133F1">
        <w:trPr>
          <w:trHeight w:val="264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83B1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F9D6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 xml:space="preserve"> - wykonywać podstawowe zabiegi resuscytacyjne u osób dorosłych i dzieci oraz stosować automatyczny defibrylator zewnętrzny (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Automated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 xml:space="preserve">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External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 xml:space="preserve">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Defibrillator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 xml:space="preserve">, AED) i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bezprzyrządowe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 xml:space="preserve"> udrożnienie dróg oddechowych oraz przyrządowe  udrażnianie dróg oddechowych z zastosowaniem dostępnych urządzeń </w:t>
            </w:r>
            <w:proofErr w:type="spellStart"/>
            <w:r w:rsidRPr="008952D8">
              <w:rPr>
                <w:rFonts w:eastAsia="Calibri"/>
                <w:color w:val="auto"/>
                <w:sz w:val="22"/>
              </w:rPr>
              <w:t>nadgłośniowych</w:t>
            </w:r>
            <w:proofErr w:type="spellEnd"/>
            <w:r w:rsidRPr="008952D8">
              <w:rPr>
                <w:rFonts w:eastAsia="Calibri"/>
                <w:color w:val="auto"/>
                <w:sz w:val="22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16D18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8952D8">
              <w:rPr>
                <w:sz w:val="22"/>
              </w:rPr>
              <w:t>D.U30.</w:t>
            </w:r>
          </w:p>
        </w:tc>
      </w:tr>
      <w:tr w:rsidR="008952D8" w:rsidRPr="008952D8" w14:paraId="6180E097" w14:textId="77777777" w:rsidTr="00A133F1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769A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  <w:lang w:eastAsia="en-US"/>
              </w:rPr>
              <w:t>P_K02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D860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8952D8">
              <w:rPr>
                <w:rFonts w:eastAsia="Calibri"/>
                <w:color w:val="auto"/>
                <w:sz w:val="22"/>
              </w:rPr>
              <w:t>- przestrzeganie praw pacjenta.</w:t>
            </w:r>
          </w:p>
          <w:p w14:paraId="317C99F7" w14:textId="77777777" w:rsidR="008952D8" w:rsidRPr="008952D8" w:rsidRDefault="008952D8" w:rsidP="00DA087A">
            <w:pPr>
              <w:spacing w:after="0" w:line="240" w:lineRule="auto"/>
              <w:ind w:left="0" w:right="73" w:firstLine="0"/>
              <w:jc w:val="left"/>
              <w:rPr>
                <w:rFonts w:eastAsia="Calibri"/>
                <w:color w:val="auto"/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7053" w14:textId="77777777" w:rsidR="008952D8" w:rsidRPr="008952D8" w:rsidRDefault="008952D8" w:rsidP="00DA087A">
            <w:pPr>
              <w:spacing w:after="0" w:line="259" w:lineRule="auto"/>
              <w:ind w:left="4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8952D8">
              <w:rPr>
                <w:rFonts w:eastAsia="Calibri"/>
                <w:color w:val="auto"/>
                <w:sz w:val="22"/>
              </w:rPr>
              <w:t>K2</w:t>
            </w:r>
          </w:p>
        </w:tc>
      </w:tr>
      <w:tr w:rsidR="008952D8" w:rsidRPr="008952D8" w14:paraId="174C58D3" w14:textId="77777777" w:rsidTr="00D336B1">
        <w:trPr>
          <w:trHeight w:val="260"/>
        </w:trPr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34E2CA" w14:textId="77777777" w:rsidR="008952D8" w:rsidRPr="008952D8" w:rsidRDefault="008952D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ED225F" w14:textId="77777777" w:rsidR="008952D8" w:rsidRPr="008952D8" w:rsidRDefault="008952D8" w:rsidP="00DA087A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Liczba godzin </w:t>
            </w:r>
          </w:p>
        </w:tc>
      </w:tr>
      <w:tr w:rsidR="008952D8" w:rsidRPr="008952D8" w14:paraId="49055DB0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F866F9" w14:textId="77777777" w:rsidR="008952D8" w:rsidRPr="008952D8" w:rsidRDefault="008952D8" w:rsidP="00DA087A">
            <w:pPr>
              <w:spacing w:after="0" w:line="240" w:lineRule="auto"/>
              <w:ind w:left="172" w:right="213"/>
              <w:rPr>
                <w:bCs/>
                <w:color w:val="000000" w:themeColor="text1"/>
                <w:sz w:val="22"/>
              </w:rPr>
            </w:pPr>
            <w:r w:rsidRPr="008952D8">
              <w:rPr>
                <w:bCs/>
                <w:color w:val="000000" w:themeColor="text1"/>
                <w:sz w:val="22"/>
              </w:rPr>
              <w:t xml:space="preserve">Prowadzenie, dokumentowanie i ocena bilansu płynów pacjenta.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53DE" w14:textId="77777777" w:rsidR="008952D8" w:rsidRPr="008952D8" w:rsidRDefault="008952D8" w:rsidP="00DA087A">
            <w:pPr>
              <w:spacing w:after="0" w:line="259" w:lineRule="auto"/>
              <w:ind w:left="83" w:righ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2CE17089" w14:textId="77777777" w:rsidTr="00D336B1">
        <w:trPr>
          <w:trHeight w:val="262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8144F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Pomiar temperatury ciała, tętna, oddechu, ciśnienia tętniczego krwi, ośrodkowego ciśnienia żylnego, obwodów, saturacji.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FFB3" w14:textId="77777777" w:rsidR="008952D8" w:rsidRPr="008952D8" w:rsidRDefault="008952D8" w:rsidP="00DA087A">
            <w:pPr>
              <w:spacing w:after="0" w:line="259" w:lineRule="auto"/>
              <w:ind w:left="83" w:righ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05323D3D" w14:textId="77777777" w:rsidTr="00D336B1">
        <w:trPr>
          <w:trHeight w:val="264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A71102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pobiera materiał do badań laboratoryjnych i mikrobiologicznych oraz asystuje lekarzowi przy badaniach diagnostycznych.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6061" w14:textId="77777777" w:rsidR="008952D8" w:rsidRPr="008952D8" w:rsidRDefault="008952D8" w:rsidP="00DA087A">
            <w:pPr>
              <w:spacing w:after="0" w:line="259" w:lineRule="auto"/>
              <w:ind w:left="83" w:righ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20DCC5DC" w14:textId="77777777" w:rsidTr="00D336B1">
        <w:trPr>
          <w:trHeight w:val="262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63F206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zakłada i usuwa cewnik z żył obwodowych, wykonuje kroplowe wlewy dożylne</w:t>
            </w:r>
          </w:p>
          <w:p w14:paraId="5C48B81B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oraz monitoruje i pielęgnuje miejsce wkłucia obwodowego, wkłucia centralnego</w:t>
            </w:r>
          </w:p>
          <w:p w14:paraId="6CCBBB3F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i portu naczyniowego.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5F1D" w14:textId="77777777" w:rsidR="008952D8" w:rsidRPr="008952D8" w:rsidRDefault="008952D8" w:rsidP="00DA087A">
            <w:pPr>
              <w:spacing w:after="0" w:line="259" w:lineRule="auto"/>
              <w:ind w:left="83" w:righ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4FB71740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9F5918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 xml:space="preserve">Student wykonuje gimnastykę oddechową i drenaż </w:t>
            </w:r>
            <w:proofErr w:type="spellStart"/>
            <w:r w:rsidRPr="008952D8">
              <w:rPr>
                <w:color w:val="000000" w:themeColor="text1"/>
                <w:sz w:val="22"/>
              </w:rPr>
              <w:t>ułożeniowy</w:t>
            </w:r>
            <w:proofErr w:type="spellEnd"/>
            <w:r w:rsidRPr="008952D8">
              <w:rPr>
                <w:color w:val="000000" w:themeColor="text1"/>
                <w:sz w:val="22"/>
              </w:rPr>
              <w:t xml:space="preserve">, </w:t>
            </w:r>
            <w:proofErr w:type="spellStart"/>
            <w:r w:rsidRPr="008952D8">
              <w:rPr>
                <w:color w:val="000000" w:themeColor="text1"/>
                <w:sz w:val="22"/>
              </w:rPr>
              <w:t>odśluzowanie</w:t>
            </w:r>
            <w:proofErr w:type="spellEnd"/>
            <w:r w:rsidRPr="008952D8">
              <w:rPr>
                <w:color w:val="000000" w:themeColor="text1"/>
                <w:sz w:val="22"/>
              </w:rPr>
              <w:t xml:space="preserve"> dróg</w:t>
            </w:r>
          </w:p>
          <w:p w14:paraId="0C29D533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oddechowych i inhalację.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B316" w14:textId="77777777" w:rsidR="008952D8" w:rsidRPr="008952D8" w:rsidRDefault="008952D8" w:rsidP="00DA087A">
            <w:pPr>
              <w:spacing w:after="0" w:line="259" w:lineRule="auto"/>
              <w:ind w:left="83" w:righ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397C495D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03DE4C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zakłada cewnik do pęcherza moczowego, potrafi monitorować diurezę i usuwać cewnik.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E09A" w14:textId="77777777" w:rsidR="008952D8" w:rsidRPr="008952D8" w:rsidRDefault="008952D8" w:rsidP="00DA087A">
            <w:pPr>
              <w:spacing w:after="0" w:line="259" w:lineRule="auto"/>
              <w:ind w:left="83" w:righ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58744CB6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175152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zakłada zgłębnik do żołądka oraz potrafi  monitorować i usuwać zgłębnik.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9D24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0667482C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AFCBC5" w14:textId="77777777" w:rsidR="008952D8" w:rsidRPr="008952D8" w:rsidRDefault="008952D8" w:rsidP="00DA087A">
            <w:pPr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gromadzi informacje, formułuje diagnozę pielęgniarską, ustala cele i plan opieki, wdrażać interwencje oraz dokonuje ewaluacji (przygotowuje stanowisko do znieczulenia, przyjmuje pacjenta na salę operacyjną).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FC63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063FBB3F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875B5" w14:textId="77777777" w:rsidR="008952D8" w:rsidRPr="008952D8" w:rsidRDefault="008952D8" w:rsidP="00DA087A">
            <w:pPr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potrafi rozpoznawać powikłania po specjalistycznych badaniach diagnostycznych i zabiegach operacyjnych.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883A9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48695871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FF12FD" w14:textId="77777777" w:rsidR="008952D8" w:rsidRPr="008952D8" w:rsidRDefault="008952D8" w:rsidP="00DA087A">
            <w:pPr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potrafi doraźnie podawać pacjentowi tlen i monitorować jego stan podczas tlenoterapii.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491B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28EFDF92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72B368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 xml:space="preserve"> Student prowadzi u osób dorosłych i dzieci żywienie dojelitowe (przez zgłębnik i przetokę odżywczą) oraz żywienie pozajelitowe.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53C8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4050ECEC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60BB8F" w14:textId="77777777" w:rsidR="008952D8" w:rsidRPr="008952D8" w:rsidRDefault="008952D8" w:rsidP="00DA087A">
            <w:pPr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Pielęgnowanie pacjenta z przetoką jelitową oraz rurką intubacyjną i tracheotomijną.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166B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1EE8E035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9E02B5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 xml:space="preserve">Student ocenia poziom bólu, reakcję pacjenta na ból i jego nasilenie oraz stosuje farmakologiczne i niefarmakologiczne postępowanie przeciwbólowe. Asystuje podczas </w:t>
            </w:r>
            <w:r w:rsidRPr="008952D8">
              <w:rPr>
                <w:color w:val="000000" w:themeColor="text1"/>
                <w:sz w:val="22"/>
              </w:rPr>
              <w:lastRenderedPageBreak/>
              <w:t>znieczulenia i operacji  pacjenta. Planuje opiekę pooperacyjną z uwzględnieniem obserwacji powikłań i zwalczania bólu.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C5F3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lastRenderedPageBreak/>
              <w:t>5</w:t>
            </w:r>
          </w:p>
        </w:tc>
      </w:tr>
      <w:tr w:rsidR="008952D8" w:rsidRPr="008952D8" w14:paraId="3D579D16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EE1E81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przygotowuje i podaje pacjentom leki różnymi drogami na zlecenie lekarza (obliczanie dawek leków).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1F1E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6EB391F0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323101" w14:textId="77777777" w:rsidR="008952D8" w:rsidRPr="008952D8" w:rsidRDefault="008952D8" w:rsidP="00DA087A">
            <w:pPr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Student rozpoznaje objawy świadczące o stanie zagrożenia życia pacjentów w różnym wieku (wstrząs, ONO, ONN i NZK).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CF4D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0494306F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F2A3A3" w14:textId="77777777" w:rsidR="008952D8" w:rsidRPr="008952D8" w:rsidRDefault="008952D8" w:rsidP="00DA087A">
            <w:pPr>
              <w:autoSpaceDE w:val="0"/>
              <w:autoSpaceDN w:val="0"/>
              <w:adjustRightInd w:val="0"/>
              <w:spacing w:after="0" w:line="240" w:lineRule="auto"/>
              <w:ind w:left="172" w:right="213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 xml:space="preserve">Student wykonuje podstawowe zabiegi resuscytacyjne u osób dorosłych i dzieci oraz stosuje automatyczny defibrylator zewnętrzny - AED i </w:t>
            </w:r>
            <w:proofErr w:type="spellStart"/>
            <w:r w:rsidRPr="008952D8">
              <w:rPr>
                <w:color w:val="000000" w:themeColor="text1"/>
                <w:sz w:val="22"/>
              </w:rPr>
              <w:t>bezprzyrządowe</w:t>
            </w:r>
            <w:proofErr w:type="spellEnd"/>
            <w:r w:rsidRPr="008952D8">
              <w:rPr>
                <w:color w:val="000000" w:themeColor="text1"/>
                <w:sz w:val="22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8952D8">
              <w:rPr>
                <w:color w:val="000000" w:themeColor="text1"/>
                <w:sz w:val="22"/>
              </w:rPr>
              <w:t>nadgłośniowych</w:t>
            </w:r>
            <w:proofErr w:type="spellEnd"/>
            <w:r w:rsidRPr="008952D8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A35E" w14:textId="77777777" w:rsidR="008952D8" w:rsidRPr="008952D8" w:rsidRDefault="008952D8" w:rsidP="00DA087A">
            <w:pPr>
              <w:ind w:left="0" w:firstLine="0"/>
              <w:rPr>
                <w:color w:val="000000" w:themeColor="text1"/>
                <w:sz w:val="22"/>
              </w:rPr>
            </w:pPr>
            <w:r w:rsidRPr="008952D8">
              <w:rPr>
                <w:color w:val="000000" w:themeColor="text1"/>
                <w:sz w:val="22"/>
              </w:rPr>
              <w:t>5</w:t>
            </w:r>
          </w:p>
        </w:tc>
      </w:tr>
      <w:tr w:rsidR="008952D8" w:rsidRPr="008952D8" w14:paraId="37E489FB" w14:textId="77777777" w:rsidTr="00D336B1">
        <w:trPr>
          <w:trHeight w:val="265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12B95D" w14:textId="77777777" w:rsidR="008952D8" w:rsidRPr="008952D8" w:rsidRDefault="008952D8" w:rsidP="00DA087A">
            <w:pPr>
              <w:spacing w:after="0" w:line="240" w:lineRule="auto"/>
              <w:jc w:val="right"/>
              <w:rPr>
                <w:color w:val="000000" w:themeColor="text1"/>
                <w:sz w:val="22"/>
              </w:rPr>
            </w:pPr>
            <w:r w:rsidRPr="008952D8">
              <w:rPr>
                <w:b/>
                <w:color w:val="000000" w:themeColor="text1"/>
                <w:sz w:val="22"/>
              </w:rPr>
              <w:t>SUMA GODZIN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F09D" w14:textId="77777777" w:rsidR="008952D8" w:rsidRPr="008952D8" w:rsidRDefault="008952D8" w:rsidP="00DA087A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8952D8">
              <w:rPr>
                <w:b/>
                <w:color w:val="000000" w:themeColor="text1"/>
                <w:sz w:val="22"/>
              </w:rPr>
              <w:t>80</w:t>
            </w:r>
          </w:p>
        </w:tc>
      </w:tr>
      <w:tr w:rsidR="008952D8" w:rsidRPr="008952D8" w14:paraId="4D119ECF" w14:textId="77777777" w:rsidTr="00D336B1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58E3EF2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22. Literatura </w:t>
            </w:r>
          </w:p>
        </w:tc>
      </w:tr>
      <w:tr w:rsidR="008952D8" w:rsidRPr="008952D8" w14:paraId="4DAAB597" w14:textId="77777777" w:rsidTr="00D336B1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3D52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1. 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Anestezjologia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. Tom 1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i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 2: A.R.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Aitkenhead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, D.J.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Rowbotham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, G. Smith, red. </w:t>
            </w:r>
            <w:r w:rsidRPr="008952D8">
              <w:rPr>
                <w:rFonts w:eastAsia="Calibri"/>
                <w:bCs/>
                <w:color w:val="auto"/>
                <w:sz w:val="22"/>
              </w:rPr>
              <w:t xml:space="preserve">A.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Kubler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>,  Urban&amp; Partner  2020</w:t>
            </w:r>
          </w:p>
          <w:p w14:paraId="626B4FA0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>2.  Wytyczne 2021 resuscytacji Krążeniowo – oddechowej” Polska Rada Resuscytacji</w:t>
            </w:r>
          </w:p>
          <w:p w14:paraId="49DA88FD" w14:textId="77777777" w:rsidR="008952D8" w:rsidRPr="008952D8" w:rsidRDefault="008952D8" w:rsidP="00DA087A">
            <w:pPr>
              <w:spacing w:after="0" w:line="259" w:lineRule="auto"/>
              <w:ind w:left="0" w:right="888" w:firstLine="0"/>
              <w:rPr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>3.</w:t>
            </w:r>
            <w:r w:rsidRPr="008952D8">
              <w:rPr>
                <w:sz w:val="22"/>
              </w:rPr>
              <w:t xml:space="preserve"> </w:t>
            </w:r>
            <w:r w:rsidRPr="008952D8">
              <w:rPr>
                <w:rFonts w:eastAsia="Calibri"/>
                <w:bCs/>
                <w:color w:val="auto"/>
                <w:sz w:val="22"/>
              </w:rPr>
              <w:t xml:space="preserve">Pielęgniarstwo anestezjologiczne i intensywnej opieki, D.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Dyk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, A.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Gutysz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>-Wojnicka; PZWL 2018</w:t>
            </w:r>
          </w:p>
          <w:p w14:paraId="5FC61FE9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 xml:space="preserve">4. Anestezjologia i intensywna opieka: Klinika i pielęgniarstwo, J. Andres i inni,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red.L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. Wołowicka, D.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Dyk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>, PZWL 2018</w:t>
            </w:r>
          </w:p>
          <w:p w14:paraId="4EC30ADB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 xml:space="preserve">5. Podręcznik anestezjologii dla pielęgniarek, R.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Hirt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, H.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Bubser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6. Standardy anestezjologicznej opieki pielęgniarskiej: E. Krajewska-Kułak, H. Rolka, B. Jankowiak, PZWL 2014. </w:t>
            </w:r>
          </w:p>
          <w:p w14:paraId="2B844BE7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  <w:lang w:val="en-US"/>
              </w:rPr>
            </w:pPr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7.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Anestezjologia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Seria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 Crash Course: M. Weinert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red.,Elsevier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 xml:space="preserve"> Urban &amp; Partner  2016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Wydanie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  <w:lang w:val="en-US"/>
              </w:rPr>
              <w:t>: II</w:t>
            </w:r>
          </w:p>
          <w:p w14:paraId="0D609651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 xml:space="preserve">8. Pielęgniarstwo anestezjologiczne; E.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Knipfer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, E.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Kochs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;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Edra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 xml:space="preserve"> Urban &amp; Partner, Wrocław 2017</w:t>
            </w:r>
          </w:p>
          <w:p w14:paraId="4D735A25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>9. Anestezja chorych w stanie zagrożenia życia; W. Machała, PZWL 2020</w:t>
            </w:r>
          </w:p>
          <w:p w14:paraId="5D562A89" w14:textId="77777777" w:rsidR="008952D8" w:rsidRPr="008952D8" w:rsidRDefault="008952D8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8952D8">
              <w:rPr>
                <w:rFonts w:eastAsia="Calibri"/>
                <w:bCs/>
                <w:color w:val="auto"/>
                <w:sz w:val="22"/>
              </w:rPr>
              <w:t xml:space="preserve">10.Obliczanie dawek leków, M. </w:t>
            </w:r>
            <w:proofErr w:type="spellStart"/>
            <w:r w:rsidRPr="008952D8">
              <w:rPr>
                <w:rFonts w:eastAsia="Calibri"/>
                <w:bCs/>
                <w:color w:val="auto"/>
                <w:sz w:val="22"/>
              </w:rPr>
              <w:t>Czekirda</w:t>
            </w:r>
            <w:proofErr w:type="spellEnd"/>
            <w:r w:rsidRPr="008952D8">
              <w:rPr>
                <w:rFonts w:eastAsia="Calibri"/>
                <w:bCs/>
                <w:color w:val="auto"/>
                <w:sz w:val="22"/>
              </w:rPr>
              <w:t>, PZWL 2023</w:t>
            </w:r>
          </w:p>
        </w:tc>
      </w:tr>
      <w:tr w:rsidR="008952D8" w:rsidRPr="008952D8" w14:paraId="4B00741E" w14:textId="77777777" w:rsidTr="00D336B1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054A4F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b/>
                <w:sz w:val="22"/>
              </w:rPr>
              <w:t xml:space="preserve">23. Kryteria oceny – szczegóły </w:t>
            </w:r>
          </w:p>
        </w:tc>
      </w:tr>
      <w:tr w:rsidR="008952D8" w:rsidRPr="008952D8" w14:paraId="19EEC76C" w14:textId="77777777" w:rsidTr="00D336B1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7E4F" w14:textId="77777777" w:rsidR="008952D8" w:rsidRPr="008952D8" w:rsidRDefault="008952D8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Zgodnie z zaleceniami organów kontrolujących. </w:t>
            </w:r>
          </w:p>
          <w:p w14:paraId="48C18D9E" w14:textId="77777777" w:rsidR="008952D8" w:rsidRPr="008952D8" w:rsidRDefault="008952D8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Zaliczenie przedmiotu - student osiągnął zakładane efekty uczenia się. </w:t>
            </w:r>
          </w:p>
          <w:p w14:paraId="4462B60C" w14:textId="77777777" w:rsidR="008952D8" w:rsidRPr="008952D8" w:rsidRDefault="008952D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52D8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7DCB21F" w14:textId="77777777" w:rsidR="008952D8" w:rsidRPr="00E42DC4" w:rsidRDefault="008952D8" w:rsidP="00411ADC">
      <w:pPr>
        <w:spacing w:after="5" w:line="254" w:lineRule="auto"/>
        <w:ind w:left="336" w:right="911"/>
        <w:jc w:val="left"/>
        <w:rPr>
          <w:sz w:val="22"/>
        </w:rPr>
      </w:pPr>
    </w:p>
    <w:p w14:paraId="748247D6" w14:textId="42B0B73A" w:rsidR="008050C4" w:rsidRPr="00A91320" w:rsidRDefault="008050C4" w:rsidP="00B47D68">
      <w:pPr>
        <w:spacing w:after="158" w:line="259" w:lineRule="auto"/>
        <w:ind w:left="0" w:right="888" w:firstLine="0"/>
        <w:jc w:val="right"/>
        <w:rPr>
          <w:sz w:val="22"/>
        </w:rPr>
      </w:pPr>
    </w:p>
    <w:sectPr w:rsidR="008050C4" w:rsidRPr="00A91320" w:rsidSect="0099158D">
      <w:footerReference w:type="even" r:id="rId8"/>
      <w:footerReference w:type="default" r:id="rId9"/>
      <w:footerReference w:type="first" r:id="rId10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DB4C4" w14:textId="77777777" w:rsidR="0099158D" w:rsidRDefault="0099158D">
      <w:pPr>
        <w:spacing w:after="0" w:line="240" w:lineRule="auto"/>
      </w:pPr>
      <w:r>
        <w:separator/>
      </w:r>
    </w:p>
  </w:endnote>
  <w:endnote w:type="continuationSeparator" w:id="0">
    <w:p w14:paraId="5A779BAE" w14:textId="77777777" w:rsidR="0099158D" w:rsidRDefault="0099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E631D" w14:textId="77777777" w:rsidR="00EC0577" w:rsidRDefault="00EC05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0FD1B84" w14:textId="77777777" w:rsidR="00EC0577" w:rsidRDefault="00EC057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3637A" w14:textId="2B27800E" w:rsidR="00EC0577" w:rsidRDefault="00EC05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614F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B6C14F7" w14:textId="77777777" w:rsidR="00EC0577" w:rsidRDefault="00EC057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76930" w14:textId="77777777" w:rsidR="00EC0577" w:rsidRDefault="00EC05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30B3620" w14:textId="77777777" w:rsidR="00EC0577" w:rsidRDefault="00EC057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6D2A8" w14:textId="77777777" w:rsidR="0099158D" w:rsidRDefault="0099158D">
      <w:pPr>
        <w:spacing w:after="0" w:line="240" w:lineRule="auto"/>
      </w:pPr>
      <w:r>
        <w:separator/>
      </w:r>
    </w:p>
  </w:footnote>
  <w:footnote w:type="continuationSeparator" w:id="0">
    <w:p w14:paraId="3B30BB72" w14:textId="77777777" w:rsidR="0099158D" w:rsidRDefault="00991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535F"/>
    <w:rsid w:val="00030530"/>
    <w:rsid w:val="00052014"/>
    <w:rsid w:val="000A60C8"/>
    <w:rsid w:val="000D1F13"/>
    <w:rsid w:val="000F5F25"/>
    <w:rsid w:val="00104F36"/>
    <w:rsid w:val="00143F6B"/>
    <w:rsid w:val="001A76A8"/>
    <w:rsid w:val="001B55A0"/>
    <w:rsid w:val="001E3F68"/>
    <w:rsid w:val="00242D6A"/>
    <w:rsid w:val="00297B33"/>
    <w:rsid w:val="002A11CE"/>
    <w:rsid w:val="002B50AD"/>
    <w:rsid w:val="002F0E24"/>
    <w:rsid w:val="003023C7"/>
    <w:rsid w:val="00306823"/>
    <w:rsid w:val="00340F18"/>
    <w:rsid w:val="00341F1C"/>
    <w:rsid w:val="00396FCD"/>
    <w:rsid w:val="003E3502"/>
    <w:rsid w:val="00411ADC"/>
    <w:rsid w:val="004544B4"/>
    <w:rsid w:val="004B7A96"/>
    <w:rsid w:val="004E500C"/>
    <w:rsid w:val="005242FF"/>
    <w:rsid w:val="005B0F83"/>
    <w:rsid w:val="005C3E41"/>
    <w:rsid w:val="00653066"/>
    <w:rsid w:val="00675959"/>
    <w:rsid w:val="00683152"/>
    <w:rsid w:val="007014C4"/>
    <w:rsid w:val="00707339"/>
    <w:rsid w:val="007B1237"/>
    <w:rsid w:val="007B3237"/>
    <w:rsid w:val="007B4081"/>
    <w:rsid w:val="007F3E80"/>
    <w:rsid w:val="008050C4"/>
    <w:rsid w:val="00891324"/>
    <w:rsid w:val="008952D8"/>
    <w:rsid w:val="008A758A"/>
    <w:rsid w:val="008E7036"/>
    <w:rsid w:val="0099158D"/>
    <w:rsid w:val="009C0ED9"/>
    <w:rsid w:val="00A133F1"/>
    <w:rsid w:val="00A47AEB"/>
    <w:rsid w:val="00A6328A"/>
    <w:rsid w:val="00A67EBE"/>
    <w:rsid w:val="00A91320"/>
    <w:rsid w:val="00A919D7"/>
    <w:rsid w:val="00A91B50"/>
    <w:rsid w:val="00AC0725"/>
    <w:rsid w:val="00B47D68"/>
    <w:rsid w:val="00BB3354"/>
    <w:rsid w:val="00BE6E93"/>
    <w:rsid w:val="00BF6CE0"/>
    <w:rsid w:val="00C25675"/>
    <w:rsid w:val="00C37321"/>
    <w:rsid w:val="00C55003"/>
    <w:rsid w:val="00C56B3A"/>
    <w:rsid w:val="00C607C1"/>
    <w:rsid w:val="00C614FC"/>
    <w:rsid w:val="00CC5EAF"/>
    <w:rsid w:val="00CD1891"/>
    <w:rsid w:val="00CE329A"/>
    <w:rsid w:val="00CE3E52"/>
    <w:rsid w:val="00D336B1"/>
    <w:rsid w:val="00D44DB6"/>
    <w:rsid w:val="00D953BC"/>
    <w:rsid w:val="00E42DC4"/>
    <w:rsid w:val="00E4708E"/>
    <w:rsid w:val="00E76060"/>
    <w:rsid w:val="00EC0577"/>
    <w:rsid w:val="00EC18F3"/>
    <w:rsid w:val="00F640A6"/>
    <w:rsid w:val="00F84B49"/>
    <w:rsid w:val="00F86357"/>
    <w:rsid w:val="00FA5851"/>
    <w:rsid w:val="00FB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4E87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7AE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table" w:customStyle="1" w:styleId="TableNormal">
    <w:name w:val="Table Normal"/>
    <w:rsid w:val="00D44D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A67EBE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7EBE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B5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Default">
    <w:name w:val="Default"/>
    <w:rsid w:val="00C614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nest.wnoz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1390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2023-01-30T10:40:00Z</cp:lastPrinted>
  <dcterms:created xsi:type="dcterms:W3CDTF">2024-02-28T14:56:00Z</dcterms:created>
  <dcterms:modified xsi:type="dcterms:W3CDTF">2024-08-22T09:57:00Z</dcterms:modified>
</cp:coreProperties>
</file>