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93F" w:rsidRPr="00400F03" w:rsidRDefault="0040493F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40493F" w:rsidRPr="00400F03" w:rsidRDefault="00400F03">
      <w:pPr>
        <w:spacing w:after="197" w:line="259" w:lineRule="auto"/>
        <w:ind w:left="10" w:right="944"/>
        <w:jc w:val="right"/>
        <w:rPr>
          <w:sz w:val="22"/>
        </w:rPr>
      </w:pPr>
      <w:r w:rsidRPr="00400F03">
        <w:rPr>
          <w:b/>
          <w:i/>
          <w:sz w:val="22"/>
        </w:rPr>
        <w:t>Załącznik nr 1a</w:t>
      </w:r>
    </w:p>
    <w:p w:rsidR="00400F03" w:rsidRPr="00400F03" w:rsidRDefault="00400F03" w:rsidP="00400F0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00F03">
        <w:rPr>
          <w:sz w:val="22"/>
        </w:rPr>
        <w:t xml:space="preserve">Karta przedmiotu </w:t>
      </w:r>
    </w:p>
    <w:p w:rsidR="0040493F" w:rsidRPr="00400F03" w:rsidRDefault="00400F03" w:rsidP="00400F0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00F03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5"/>
        <w:gridCol w:w="1104"/>
        <w:gridCol w:w="2017"/>
        <w:gridCol w:w="2266"/>
        <w:gridCol w:w="847"/>
      </w:tblGrid>
      <w:tr w:rsidR="0040493F" w:rsidRPr="00400F03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0493F" w:rsidRPr="00400F03" w:rsidRDefault="00400F03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400F03">
              <w:rPr>
                <w:b/>
                <w:sz w:val="22"/>
              </w:rPr>
              <w:t xml:space="preserve">Informacje ogólne o przedmiocie </w:t>
            </w:r>
          </w:p>
        </w:tc>
      </w:tr>
      <w:tr w:rsidR="0040493F" w:rsidRPr="00400F03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93F" w:rsidRPr="00400F03" w:rsidRDefault="00400F0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00F03">
              <w:rPr>
                <w:b/>
                <w:sz w:val="22"/>
              </w:rPr>
              <w:t>1. Kierunek studiów:</w:t>
            </w:r>
            <w:r w:rsidRPr="00400F03">
              <w:rPr>
                <w:sz w:val="22"/>
              </w:rPr>
              <w:t xml:space="preserve">  Położnictwo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400F03">
              <w:rPr>
                <w:b/>
                <w:sz w:val="22"/>
              </w:rPr>
              <w:t xml:space="preserve">Poziom kształcenia: </w:t>
            </w:r>
            <w:r w:rsidRPr="00400F03">
              <w:rPr>
                <w:sz w:val="22"/>
              </w:rPr>
              <w:t>I stopień/ profil praktyczny</w:t>
            </w:r>
          </w:p>
          <w:p w:rsidR="0040493F" w:rsidRPr="00400F03" w:rsidRDefault="00400F03">
            <w:pPr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400F03">
              <w:rPr>
                <w:b/>
                <w:sz w:val="22"/>
              </w:rPr>
              <w:t>Forma studiów:</w:t>
            </w:r>
            <w:r w:rsidRPr="00400F03">
              <w:rPr>
                <w:sz w:val="22"/>
              </w:rPr>
              <w:t xml:space="preserve"> studia stacjonarne</w:t>
            </w:r>
          </w:p>
        </w:tc>
      </w:tr>
      <w:tr w:rsidR="0040493F" w:rsidRPr="00400F03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00F03">
              <w:rPr>
                <w:b/>
                <w:sz w:val="22"/>
              </w:rPr>
              <w:t>4. Rok:</w:t>
            </w:r>
            <w:r w:rsidRPr="00400F03">
              <w:rPr>
                <w:sz w:val="22"/>
              </w:rPr>
              <w:t xml:space="preserve"> III, cykl kształcenia 2024-2027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00F03">
              <w:rPr>
                <w:b/>
                <w:sz w:val="22"/>
              </w:rPr>
              <w:t xml:space="preserve">5. Semestr: </w:t>
            </w:r>
            <w:r w:rsidRPr="00400F03">
              <w:rPr>
                <w:sz w:val="22"/>
              </w:rPr>
              <w:t>V, VI</w:t>
            </w:r>
          </w:p>
        </w:tc>
      </w:tr>
      <w:tr w:rsidR="0040493F" w:rsidRPr="00400F03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400F03">
              <w:rPr>
                <w:b/>
                <w:sz w:val="22"/>
              </w:rPr>
              <w:t xml:space="preserve">6. Nazwa przedmiotu: </w:t>
            </w:r>
            <w:r w:rsidRPr="00400F03">
              <w:rPr>
                <w:sz w:val="22"/>
              </w:rPr>
              <w:t>Neonatologia i opieka neonatologiczna</w:t>
            </w:r>
          </w:p>
        </w:tc>
      </w:tr>
      <w:tr w:rsidR="0040493F" w:rsidRPr="00400F03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400F03">
              <w:rPr>
                <w:b/>
                <w:sz w:val="22"/>
              </w:rPr>
              <w:t xml:space="preserve">7. Status przedmiotu: </w:t>
            </w:r>
            <w:r w:rsidRPr="00400F03">
              <w:rPr>
                <w:sz w:val="22"/>
              </w:rPr>
              <w:t>obowiązkowy</w:t>
            </w:r>
          </w:p>
        </w:tc>
      </w:tr>
      <w:tr w:rsidR="0040493F" w:rsidRPr="00400F03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00F03">
              <w:rPr>
                <w:b/>
                <w:sz w:val="22"/>
              </w:rPr>
              <w:t>8. Cel/-e przedmiotu</w:t>
            </w:r>
          </w:p>
          <w:p w:rsidR="0040493F" w:rsidRPr="00400F03" w:rsidRDefault="00400F0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00F03">
              <w:rPr>
                <w:sz w:val="22"/>
              </w:rPr>
              <w:t>Przyswojenie podstawy wiedzy w zakresie neonatologii i opieki neonatologicznej</w:t>
            </w:r>
          </w:p>
          <w:p w:rsidR="0040493F" w:rsidRPr="00400F03" w:rsidRDefault="0040493F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40493F" w:rsidRPr="00400F03" w:rsidRDefault="00400F03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400F03">
              <w:rPr>
                <w:b/>
                <w:sz w:val="22"/>
              </w:rPr>
              <w:t xml:space="preserve">Efekty uczenia się/odniesienie do efektów uczenia się </w:t>
            </w:r>
            <w:r w:rsidRPr="00400F03">
              <w:rPr>
                <w:sz w:val="22"/>
              </w:rPr>
              <w:t xml:space="preserve">zawartych w </w:t>
            </w:r>
            <w:r w:rsidRPr="00400F03">
              <w:rPr>
                <w:i/>
                <w:sz w:val="22"/>
              </w:rPr>
              <w:t>(właściwe podkreślić)</w:t>
            </w:r>
            <w:r w:rsidRPr="00400F03">
              <w:rPr>
                <w:sz w:val="22"/>
              </w:rPr>
              <w:t xml:space="preserve">: </w:t>
            </w:r>
          </w:p>
          <w:p w:rsidR="0040493F" w:rsidRPr="00400F03" w:rsidRDefault="00400F03">
            <w:pPr>
              <w:spacing w:after="15" w:line="261" w:lineRule="auto"/>
              <w:ind w:left="28" w:right="0" w:firstLine="0"/>
              <w:rPr>
                <w:sz w:val="22"/>
              </w:rPr>
            </w:pPr>
            <w:r w:rsidRPr="00400F03">
              <w:rPr>
                <w:sz w:val="22"/>
              </w:rPr>
              <w:t>standardach kształcenia (</w:t>
            </w:r>
            <w:r w:rsidRPr="00400F03">
              <w:rPr>
                <w:sz w:val="22"/>
                <w:u w:val="single"/>
              </w:rPr>
              <w:t>Rozporządzenie Ministra Nauki i Szkolnictwa Wyższego</w:t>
            </w:r>
            <w:r w:rsidRPr="00400F03">
              <w:rPr>
                <w:sz w:val="22"/>
              </w:rPr>
              <w:t xml:space="preserve">)/Uchwale Senatu SUM </w:t>
            </w:r>
            <w:r w:rsidRPr="00400F03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400F03">
              <w:rPr>
                <w:sz w:val="22"/>
              </w:rPr>
              <w:t xml:space="preserve"> </w:t>
            </w:r>
          </w:p>
          <w:p w:rsidR="0040493F" w:rsidRPr="00400F03" w:rsidRDefault="00400F03">
            <w:pPr>
              <w:spacing w:after="15" w:line="261" w:lineRule="auto"/>
              <w:ind w:left="28" w:right="0" w:firstLine="0"/>
              <w:rPr>
                <w:sz w:val="22"/>
              </w:rPr>
            </w:pPr>
            <w:r w:rsidRPr="00400F03">
              <w:rPr>
                <w:sz w:val="22"/>
              </w:rPr>
              <w:t xml:space="preserve">w zakresie wiedzy student zna i rozumie: czynniki wpływające na rozwój prenatalny i postnatalny, zna zasady opieki nad noworodkiem dojrzałym i niedojrzałym bezpośrednio po urodzeniu i w dobach późniejszych z uwzględnieniem uwarunkowań </w:t>
            </w:r>
            <w:proofErr w:type="spellStart"/>
            <w:r w:rsidRPr="00400F03">
              <w:rPr>
                <w:sz w:val="22"/>
              </w:rPr>
              <w:t>społeczno</w:t>
            </w:r>
            <w:proofErr w:type="spellEnd"/>
            <w:r w:rsidRPr="00400F03">
              <w:rPr>
                <w:sz w:val="22"/>
              </w:rPr>
              <w:t xml:space="preserve"> – kulturowych, zna standardy opieki nad noworodkiem z uwzględnieniem wieku płodowego, urodzeniowej masy ciała i stanu zdrowia.</w:t>
            </w:r>
          </w:p>
          <w:p w:rsidR="0040493F" w:rsidRPr="00400F03" w:rsidRDefault="00400F03">
            <w:pPr>
              <w:spacing w:after="15" w:line="261" w:lineRule="auto"/>
              <w:ind w:left="28" w:right="0" w:firstLine="0"/>
              <w:rPr>
                <w:sz w:val="22"/>
              </w:rPr>
            </w:pPr>
            <w:r w:rsidRPr="00400F03">
              <w:rPr>
                <w:sz w:val="22"/>
              </w:rPr>
              <w:t xml:space="preserve">w zakresie umiejętności student potrafi: ocenić prawidłowy rozwój prenatalny i postnatalny, realizować holistyczną opiekę nad noworodkiem dojrzałym i niedojrzałym bezpośrednio po urodzeniu i w dobach późniejszych z uwzględnieniem uwarunkowań </w:t>
            </w:r>
            <w:proofErr w:type="spellStart"/>
            <w:r w:rsidRPr="00400F03">
              <w:rPr>
                <w:sz w:val="22"/>
              </w:rPr>
              <w:t>społeczno</w:t>
            </w:r>
            <w:proofErr w:type="spellEnd"/>
            <w:r w:rsidRPr="00400F03">
              <w:rPr>
                <w:sz w:val="22"/>
              </w:rPr>
              <w:t xml:space="preserve"> – kulturowych, stosuje standardy opieki nad noworodkiem z uwzględnieniem wieku płodowego, urodzeniowej masy ciała i stanu zdrowia.</w:t>
            </w:r>
          </w:p>
          <w:p w:rsidR="0040493F" w:rsidRPr="00400F03" w:rsidRDefault="00400F03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400F03">
              <w:rPr>
                <w:sz w:val="22"/>
              </w:rPr>
              <w:t>w zakresie kompetencji społecznych student: dąży do poprawy, rozwoju,  realizacji, kompetencji społecznych</w:t>
            </w:r>
          </w:p>
        </w:tc>
      </w:tr>
      <w:tr w:rsidR="0040493F" w:rsidRPr="00400F03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00F0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0493F" w:rsidRPr="00400F03" w:rsidRDefault="00400F03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400F03">
              <w:rPr>
                <w:sz w:val="22"/>
              </w:rPr>
              <w:t xml:space="preserve"> 130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400F0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0493F" w:rsidRPr="00400F03" w:rsidRDefault="00400F03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400F03">
              <w:rPr>
                <w:sz w:val="22"/>
              </w:rPr>
              <w:t>4</w:t>
            </w:r>
          </w:p>
        </w:tc>
      </w:tr>
      <w:tr w:rsidR="0040493F" w:rsidRPr="00400F03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00F03">
              <w:rPr>
                <w:b/>
                <w:sz w:val="22"/>
              </w:rPr>
              <w:t xml:space="preserve">11. Forma zaliczenia przedmiotu: </w:t>
            </w:r>
            <w:r w:rsidRPr="00400F03">
              <w:rPr>
                <w:sz w:val="22"/>
              </w:rPr>
              <w:t>egzamin</w:t>
            </w:r>
            <w:r w:rsidRPr="00400F03">
              <w:rPr>
                <w:b/>
                <w:sz w:val="22"/>
              </w:rPr>
              <w:t xml:space="preserve"> </w:t>
            </w:r>
          </w:p>
        </w:tc>
      </w:tr>
      <w:tr w:rsidR="0040493F" w:rsidRPr="00400F03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0493F" w:rsidRPr="00400F03" w:rsidRDefault="00400F0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00F0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40493F" w:rsidRPr="00400F03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400F03">
              <w:rPr>
                <w:sz w:val="22"/>
              </w:rPr>
              <w:t xml:space="preserve">Efekty uczenia się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400F03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400F03">
              <w:rPr>
                <w:sz w:val="22"/>
              </w:rPr>
              <w:t xml:space="preserve">Sposoby oceny*/zaliczenie </w:t>
            </w:r>
          </w:p>
        </w:tc>
      </w:tr>
      <w:tr w:rsidR="0040493F" w:rsidRPr="00400F0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00F03">
              <w:rPr>
                <w:sz w:val="22"/>
              </w:rPr>
              <w:t xml:space="preserve">W zakresie wiedzy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00F03">
              <w:rPr>
                <w:sz w:val="22"/>
              </w:rPr>
              <w:t>Egzamin pisemny – pytania zamknięte,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00F03">
              <w:rPr>
                <w:sz w:val="22"/>
              </w:rPr>
              <w:t>*</w:t>
            </w:r>
          </w:p>
        </w:tc>
      </w:tr>
      <w:tr w:rsidR="0040493F" w:rsidRPr="00400F03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00F03">
              <w:rPr>
                <w:sz w:val="22"/>
              </w:rPr>
              <w:t xml:space="preserve">W zakresie umiejętności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400F03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00F03">
              <w:rPr>
                <w:sz w:val="22"/>
              </w:rPr>
              <w:t>*</w:t>
            </w:r>
          </w:p>
        </w:tc>
      </w:tr>
      <w:tr w:rsidR="0040493F" w:rsidRPr="00400F0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00F03">
              <w:rPr>
                <w:sz w:val="22"/>
              </w:rPr>
              <w:t xml:space="preserve">W zakresie kompetencji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400F03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93F" w:rsidRPr="00400F03" w:rsidRDefault="00400F0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00F03">
              <w:rPr>
                <w:sz w:val="22"/>
              </w:rPr>
              <w:t>*</w:t>
            </w:r>
          </w:p>
        </w:tc>
      </w:tr>
    </w:tbl>
    <w:p w:rsidR="0040493F" w:rsidRPr="00400F03" w:rsidRDefault="00400F03">
      <w:pPr>
        <w:spacing w:after="306" w:line="259" w:lineRule="auto"/>
        <w:ind w:left="341" w:right="0" w:firstLine="0"/>
        <w:jc w:val="left"/>
        <w:rPr>
          <w:sz w:val="22"/>
        </w:rPr>
      </w:pPr>
      <w:r w:rsidRPr="00400F03">
        <w:rPr>
          <w:b/>
          <w:sz w:val="22"/>
        </w:rPr>
        <w:t>*</w:t>
      </w:r>
      <w:r w:rsidRPr="00400F03">
        <w:rPr>
          <w:sz w:val="22"/>
        </w:rPr>
        <w:t xml:space="preserve"> w przypadku egzaminu/zaliczenia na ocenę zakłada się, że ocena oznacza na poziomie: </w:t>
      </w:r>
    </w:p>
    <w:p w:rsidR="0040493F" w:rsidRPr="00400F03" w:rsidRDefault="00400F03">
      <w:pPr>
        <w:spacing w:after="5" w:line="252" w:lineRule="auto"/>
        <w:ind w:left="336" w:right="911"/>
        <w:rPr>
          <w:sz w:val="22"/>
        </w:rPr>
      </w:pPr>
      <w:r w:rsidRPr="00400F03">
        <w:rPr>
          <w:b/>
          <w:sz w:val="22"/>
        </w:rPr>
        <w:t>Bardzo dobry (5,0)</w:t>
      </w:r>
      <w:r w:rsidRPr="00400F03">
        <w:rPr>
          <w:sz w:val="22"/>
        </w:rPr>
        <w:t xml:space="preserve"> - zakładane efekty uczenia się zostały osiągnięte i znacznym stopniu przekraczają wymagany poziom </w:t>
      </w:r>
    </w:p>
    <w:p w:rsidR="0040493F" w:rsidRPr="00400F03" w:rsidRDefault="00400F03">
      <w:pPr>
        <w:spacing w:after="5" w:line="252" w:lineRule="auto"/>
        <w:ind w:left="336" w:right="911"/>
        <w:rPr>
          <w:sz w:val="22"/>
        </w:rPr>
      </w:pPr>
      <w:r w:rsidRPr="00400F03">
        <w:rPr>
          <w:b/>
          <w:sz w:val="22"/>
        </w:rPr>
        <w:t>Ponad dobry (4,5)</w:t>
      </w:r>
      <w:r w:rsidRPr="00400F03">
        <w:rPr>
          <w:sz w:val="22"/>
        </w:rPr>
        <w:t xml:space="preserve"> - zakładane efekty uczenia się zostały osiągnięte i w niewielkim stopniu przekraczają wymagany poziom </w:t>
      </w:r>
    </w:p>
    <w:p w:rsidR="0040493F" w:rsidRPr="00400F03" w:rsidRDefault="00400F03">
      <w:pPr>
        <w:spacing w:after="31" w:line="252" w:lineRule="auto"/>
        <w:ind w:left="336" w:right="911"/>
        <w:rPr>
          <w:sz w:val="22"/>
        </w:rPr>
      </w:pPr>
      <w:r w:rsidRPr="00400F03">
        <w:rPr>
          <w:b/>
          <w:sz w:val="22"/>
        </w:rPr>
        <w:t>Dobry (4,0)</w:t>
      </w:r>
      <w:r w:rsidRPr="00400F03">
        <w:rPr>
          <w:sz w:val="22"/>
        </w:rPr>
        <w:t xml:space="preserve"> – zakładane efekty uczenia się zostały osiągnięte na wymaganym poziomie </w:t>
      </w:r>
    </w:p>
    <w:p w:rsidR="0040493F" w:rsidRPr="00400F03" w:rsidRDefault="00400F03">
      <w:pPr>
        <w:spacing w:after="5" w:line="252" w:lineRule="auto"/>
        <w:ind w:left="336" w:right="911"/>
        <w:rPr>
          <w:sz w:val="22"/>
        </w:rPr>
      </w:pPr>
      <w:r w:rsidRPr="00400F03">
        <w:rPr>
          <w:b/>
          <w:sz w:val="22"/>
        </w:rPr>
        <w:t>Dość dobry (3,5)</w:t>
      </w:r>
      <w:r w:rsidRPr="00400F03">
        <w:rPr>
          <w:sz w:val="22"/>
        </w:rPr>
        <w:t xml:space="preserve"> – zakładane efekty uczenia się zostały osiągnięte na średnim wymaganym poziomie </w:t>
      </w:r>
      <w:r w:rsidRPr="00400F03">
        <w:rPr>
          <w:b/>
          <w:sz w:val="22"/>
        </w:rPr>
        <w:t>Dostateczny (3,0)</w:t>
      </w:r>
      <w:r w:rsidRPr="00400F03">
        <w:rPr>
          <w:sz w:val="22"/>
        </w:rPr>
        <w:t xml:space="preserve"> - zakładane efekty uczenia się zostały osiągnięte na minimalnym wymaganym poziomie </w:t>
      </w:r>
    </w:p>
    <w:p w:rsidR="0040493F" w:rsidRPr="00400F03" w:rsidRDefault="00400F03">
      <w:pPr>
        <w:spacing w:after="5" w:line="252" w:lineRule="auto"/>
        <w:ind w:left="336" w:right="911"/>
        <w:rPr>
          <w:sz w:val="22"/>
        </w:rPr>
      </w:pPr>
      <w:r w:rsidRPr="00400F03">
        <w:rPr>
          <w:b/>
          <w:sz w:val="22"/>
        </w:rPr>
        <w:t>Niedostateczny (2,0)</w:t>
      </w:r>
      <w:r w:rsidRPr="00400F03">
        <w:rPr>
          <w:sz w:val="22"/>
        </w:rPr>
        <w:t xml:space="preserve"> – zakładane efekty uczenia się nie zostały uzyskane. </w:t>
      </w:r>
    </w:p>
    <w:p w:rsidR="0040493F" w:rsidRPr="00400F03" w:rsidRDefault="00400F03">
      <w:pPr>
        <w:spacing w:after="0" w:line="259" w:lineRule="auto"/>
        <w:ind w:left="341" w:right="0" w:firstLine="0"/>
        <w:jc w:val="left"/>
        <w:rPr>
          <w:sz w:val="22"/>
        </w:rPr>
      </w:pPr>
      <w:r w:rsidRPr="00400F03">
        <w:rPr>
          <w:sz w:val="22"/>
        </w:rPr>
        <w:t xml:space="preserve"> </w:t>
      </w:r>
    </w:p>
    <w:p w:rsidR="0040493F" w:rsidRPr="00400F03" w:rsidRDefault="0040493F">
      <w:pPr>
        <w:spacing w:after="0" w:line="259" w:lineRule="auto"/>
        <w:ind w:left="341" w:right="0" w:firstLine="0"/>
        <w:jc w:val="left"/>
        <w:rPr>
          <w:sz w:val="22"/>
        </w:rPr>
      </w:pPr>
    </w:p>
    <w:p w:rsidR="0040493F" w:rsidRDefault="0040493F">
      <w:pPr>
        <w:spacing w:after="0" w:line="259" w:lineRule="auto"/>
        <w:ind w:left="341" w:right="0" w:firstLine="0"/>
        <w:jc w:val="left"/>
        <w:rPr>
          <w:sz w:val="22"/>
        </w:rPr>
      </w:pPr>
    </w:p>
    <w:p w:rsidR="005C14C9" w:rsidRDefault="005C14C9">
      <w:pPr>
        <w:spacing w:after="0" w:line="259" w:lineRule="auto"/>
        <w:ind w:left="341" w:right="0" w:firstLine="0"/>
        <w:jc w:val="left"/>
        <w:rPr>
          <w:sz w:val="22"/>
        </w:rPr>
      </w:pPr>
    </w:p>
    <w:p w:rsidR="005C14C9" w:rsidRDefault="005C14C9">
      <w:pPr>
        <w:spacing w:after="0" w:line="259" w:lineRule="auto"/>
        <w:ind w:left="341" w:right="0" w:firstLine="0"/>
        <w:jc w:val="left"/>
        <w:rPr>
          <w:sz w:val="22"/>
        </w:rPr>
      </w:pPr>
    </w:p>
    <w:p w:rsidR="005C14C9" w:rsidRDefault="005C14C9">
      <w:pPr>
        <w:spacing w:after="0" w:line="259" w:lineRule="auto"/>
        <w:ind w:left="341" w:right="0" w:firstLine="0"/>
        <w:jc w:val="left"/>
        <w:rPr>
          <w:sz w:val="22"/>
        </w:rPr>
      </w:pPr>
    </w:p>
    <w:p w:rsidR="005C14C9" w:rsidRDefault="005C14C9">
      <w:pPr>
        <w:spacing w:after="0" w:line="259" w:lineRule="auto"/>
        <w:ind w:left="341" w:right="0" w:firstLine="0"/>
        <w:jc w:val="left"/>
        <w:rPr>
          <w:sz w:val="22"/>
        </w:rPr>
      </w:pPr>
    </w:p>
    <w:p w:rsidR="005C14C9" w:rsidRDefault="005C14C9" w:rsidP="005C14C9">
      <w:pPr>
        <w:spacing w:after="0" w:line="259" w:lineRule="auto"/>
        <w:ind w:left="341" w:right="0" w:firstLine="0"/>
        <w:jc w:val="left"/>
      </w:pPr>
    </w:p>
    <w:p w:rsidR="00172210" w:rsidRPr="00172210" w:rsidRDefault="005C14C9" w:rsidP="00172210">
      <w:pPr>
        <w:spacing w:after="158" w:line="259" w:lineRule="auto"/>
        <w:ind w:left="10" w:right="10"/>
        <w:jc w:val="center"/>
        <w:rPr>
          <w:b/>
          <w:sz w:val="22"/>
        </w:rPr>
      </w:pPr>
      <w:r w:rsidRPr="00172210">
        <w:rPr>
          <w:b/>
          <w:sz w:val="22"/>
        </w:rPr>
        <w:t>Karta przedmiotu</w:t>
      </w:r>
    </w:p>
    <w:p w:rsidR="005C14C9" w:rsidRPr="00172210" w:rsidRDefault="005C14C9" w:rsidP="00172210">
      <w:pPr>
        <w:spacing w:after="158" w:line="259" w:lineRule="auto"/>
        <w:ind w:left="10" w:right="10"/>
        <w:jc w:val="center"/>
        <w:rPr>
          <w:sz w:val="22"/>
        </w:rPr>
      </w:pPr>
      <w:r w:rsidRPr="00172210">
        <w:rPr>
          <w:b/>
          <w:sz w:val="22"/>
        </w:rPr>
        <w:t>Cz. 2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8"/>
        <w:gridCol w:w="1541"/>
        <w:gridCol w:w="3489"/>
        <w:gridCol w:w="1371"/>
        <w:gridCol w:w="1276"/>
      </w:tblGrid>
      <w:tr w:rsidR="005C14C9" w:rsidRPr="00172210" w:rsidTr="00172210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C14C9" w:rsidRPr="00172210" w:rsidRDefault="005C14C9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72210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5C14C9" w:rsidRPr="00172210" w:rsidTr="00172210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>13. Jednostka realizująca przedmiot,</w:t>
            </w:r>
            <w:r w:rsidRPr="00172210">
              <w:rPr>
                <w:sz w:val="22"/>
              </w:rPr>
              <w:t xml:space="preserve"> </w:t>
            </w:r>
            <w:r w:rsidRPr="00172210">
              <w:rPr>
                <w:b/>
                <w:sz w:val="22"/>
              </w:rPr>
              <w:t xml:space="preserve">adres, e-mail:  </w:t>
            </w:r>
            <w:r w:rsidRPr="00172210">
              <w:rPr>
                <w:sz w:val="22"/>
              </w:rPr>
              <w:t>Zakład Propedeutyki Położnictwa Wydziału Nauk o Zdrowiu w Katowicach, ul. Medyków 12, Katowice, tel. 32/2088629</w:t>
            </w:r>
          </w:p>
        </w:tc>
      </w:tr>
      <w:tr w:rsidR="005C14C9" w:rsidRPr="00172210" w:rsidTr="00172210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:rsidR="005C14C9" w:rsidRPr="00172210" w:rsidRDefault="005C14C9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172210">
              <w:rPr>
                <w:sz w:val="22"/>
              </w:rPr>
              <w:t>dr hab. n. o zdrowiu. Mariola Czajkowska, Prof. SUM</w:t>
            </w:r>
          </w:p>
        </w:tc>
      </w:tr>
      <w:tr w:rsidR="005C14C9" w:rsidRPr="00172210" w:rsidTr="00172210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5C14C9" w:rsidRPr="00172210" w:rsidRDefault="005C14C9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Podstawy wiedzy w zakresie neonatologii i opieki neonatologicznej</w:t>
            </w:r>
          </w:p>
        </w:tc>
      </w:tr>
      <w:tr w:rsidR="005C14C9" w:rsidRPr="00172210" w:rsidTr="00172210">
        <w:trPr>
          <w:trHeight w:val="262"/>
        </w:trPr>
        <w:tc>
          <w:tcPr>
            <w:tcW w:w="3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72210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 xml:space="preserve">Zgodna z Zarządzeniem Rektora SUM </w:t>
            </w:r>
          </w:p>
        </w:tc>
      </w:tr>
      <w:tr w:rsidR="005C14C9" w:rsidRPr="00172210" w:rsidTr="00172210">
        <w:trPr>
          <w:trHeight w:val="516"/>
        </w:trPr>
        <w:tc>
          <w:tcPr>
            <w:tcW w:w="3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72210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 xml:space="preserve">Fantom noworodkowy, inkubator, wanienka do kąpieli noworodka,  poduszki do karmienia, laptop, rzutnik multimedialny, tablica </w:t>
            </w:r>
            <w:proofErr w:type="spellStart"/>
            <w:r w:rsidRPr="00172210">
              <w:rPr>
                <w:sz w:val="22"/>
              </w:rPr>
              <w:t>flip</w:t>
            </w:r>
            <w:proofErr w:type="spellEnd"/>
            <w:r w:rsidRPr="00172210">
              <w:rPr>
                <w:sz w:val="22"/>
              </w:rPr>
              <w:t xml:space="preserve"> chart, sprzęt jednorazowego użytku (tasiemki identyfikacyjne, nakłuwacze, bibułki do testów przesiewowych, chusteczki nawilżane, kosmetyki, pieluchy itp.)</w:t>
            </w:r>
          </w:p>
        </w:tc>
      </w:tr>
      <w:tr w:rsidR="005C14C9" w:rsidRPr="00172210" w:rsidTr="00172210">
        <w:trPr>
          <w:trHeight w:val="264"/>
        </w:trPr>
        <w:tc>
          <w:tcPr>
            <w:tcW w:w="3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72210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 xml:space="preserve"> Zgodny z rozpiską na tablicy ogłoszeń Zakład Propedeutyki Położnictwa IV p.</w:t>
            </w:r>
          </w:p>
        </w:tc>
      </w:tr>
      <w:tr w:rsidR="005C14C9" w:rsidRPr="00172210" w:rsidTr="00172210">
        <w:trPr>
          <w:trHeight w:val="266"/>
        </w:trPr>
        <w:tc>
          <w:tcPr>
            <w:tcW w:w="3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72210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 xml:space="preserve"> Zgodny z rozpiską na tablicy ogłoszeń Zakład Propedeutyki Położnictwa IV p.</w:t>
            </w:r>
          </w:p>
        </w:tc>
      </w:tr>
      <w:tr w:rsidR="005C14C9" w:rsidRPr="00172210" w:rsidTr="00172210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C14C9" w:rsidRPr="00172210" w:rsidRDefault="005C14C9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72210">
              <w:rPr>
                <w:b/>
                <w:sz w:val="22"/>
              </w:rPr>
              <w:t>20. Efekty uczenia się</w:t>
            </w:r>
            <w:r w:rsidRPr="00172210">
              <w:rPr>
                <w:sz w:val="22"/>
              </w:rPr>
              <w:t xml:space="preserve"> </w:t>
            </w:r>
          </w:p>
        </w:tc>
      </w:tr>
      <w:tr w:rsidR="005C14C9" w:rsidRPr="00172210" w:rsidTr="00172210">
        <w:trPr>
          <w:trHeight w:val="153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C9" w:rsidRPr="00172210" w:rsidRDefault="005C14C9" w:rsidP="00330CA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72210">
              <w:rPr>
                <w:sz w:val="22"/>
              </w:rPr>
              <w:t xml:space="preserve">Numer przedmiotowego </w:t>
            </w:r>
          </w:p>
          <w:p w:rsidR="005C14C9" w:rsidRPr="00172210" w:rsidRDefault="005C14C9" w:rsidP="00330CA7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172210">
              <w:rPr>
                <w:sz w:val="22"/>
              </w:rPr>
              <w:t xml:space="preserve">efektu uczenia </w:t>
            </w:r>
          </w:p>
          <w:p w:rsidR="005C14C9" w:rsidRPr="00172210" w:rsidRDefault="005C14C9" w:rsidP="00330CA7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172210">
              <w:rPr>
                <w:sz w:val="22"/>
              </w:rPr>
              <w:t xml:space="preserve">się </w:t>
            </w:r>
          </w:p>
        </w:tc>
        <w:tc>
          <w:tcPr>
            <w:tcW w:w="5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C9" w:rsidRPr="00172210" w:rsidRDefault="005C14C9" w:rsidP="00330CA7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172210">
              <w:rPr>
                <w:sz w:val="22"/>
              </w:rPr>
              <w:t xml:space="preserve">Przedmiotowe efekty uczenia się 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11"/>
              <w:ind w:left="0" w:right="0" w:firstLine="0"/>
              <w:jc w:val="center"/>
              <w:rPr>
                <w:sz w:val="22"/>
              </w:rPr>
            </w:pPr>
            <w:r w:rsidRPr="00172210">
              <w:rPr>
                <w:sz w:val="22"/>
              </w:rPr>
              <w:t xml:space="preserve">Odniesienie do efektów uczenia się zawartych w </w:t>
            </w:r>
            <w:r w:rsidRPr="00172210">
              <w:rPr>
                <w:i/>
                <w:sz w:val="22"/>
              </w:rPr>
              <w:t>(właściwe podkreślić)</w:t>
            </w:r>
            <w:r w:rsidRPr="00172210">
              <w:rPr>
                <w:sz w:val="22"/>
              </w:rPr>
              <w:t xml:space="preserve">: </w:t>
            </w:r>
          </w:p>
          <w:p w:rsidR="005C14C9" w:rsidRPr="00172210" w:rsidRDefault="005C14C9" w:rsidP="00330CA7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172210">
              <w:rPr>
                <w:sz w:val="22"/>
                <w:u w:val="single"/>
              </w:rPr>
              <w:t>standardach kształcenia</w:t>
            </w:r>
            <w:r w:rsidRPr="00172210">
              <w:rPr>
                <w:sz w:val="22"/>
              </w:rPr>
              <w:t xml:space="preserve">/ </w:t>
            </w:r>
          </w:p>
          <w:p w:rsidR="005C14C9" w:rsidRPr="00172210" w:rsidRDefault="005C14C9" w:rsidP="00330CA7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172210">
              <w:rPr>
                <w:sz w:val="22"/>
              </w:rPr>
              <w:t xml:space="preserve">zatwierdzonych przez </w:t>
            </w:r>
          </w:p>
          <w:p w:rsidR="005C14C9" w:rsidRPr="00172210" w:rsidRDefault="005C14C9" w:rsidP="00330CA7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172210">
              <w:rPr>
                <w:sz w:val="22"/>
              </w:rPr>
              <w:t xml:space="preserve">Senat SUM  </w:t>
            </w:r>
          </w:p>
        </w:tc>
      </w:tr>
      <w:tr w:rsidR="005C14C9" w:rsidRPr="00172210" w:rsidTr="00172210">
        <w:trPr>
          <w:trHeight w:val="26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P_W01</w:t>
            </w:r>
            <w:r w:rsidRPr="00172210">
              <w:rPr>
                <w:b/>
                <w:sz w:val="22"/>
              </w:rPr>
              <w:t xml:space="preserve"> </w:t>
            </w:r>
          </w:p>
        </w:tc>
        <w:tc>
          <w:tcPr>
            <w:tcW w:w="5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210" w:rsidRPr="00172210" w:rsidRDefault="005C14C9" w:rsidP="00203BF1">
            <w:pPr>
              <w:spacing w:after="0" w:line="240" w:lineRule="auto"/>
              <w:ind w:left="0"/>
              <w:rPr>
                <w:sz w:val="22"/>
              </w:rPr>
            </w:pPr>
            <w:r w:rsidRPr="00172210">
              <w:rPr>
                <w:sz w:val="22"/>
              </w:rPr>
              <w:t xml:space="preserve">Czynniki warunkujące prawidłowy rozwój prenatalny i postnatalny: </w:t>
            </w:r>
          </w:p>
          <w:p w:rsidR="00172210" w:rsidRPr="00172210" w:rsidRDefault="005C14C9" w:rsidP="00203BF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81"/>
              <w:jc w:val="both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Zmiany adaptacyjne w organizmie kobiety ciężarnej;</w:t>
            </w:r>
          </w:p>
          <w:p w:rsidR="00172210" w:rsidRPr="00172210" w:rsidRDefault="005C14C9" w:rsidP="00203BF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81"/>
              <w:jc w:val="both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• Prenatalny okres życia człowieka;</w:t>
            </w:r>
          </w:p>
          <w:p w:rsidR="005C14C9" w:rsidRPr="00172210" w:rsidRDefault="005C14C9" w:rsidP="00203BF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81"/>
              <w:jc w:val="both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• Pro</w:t>
            </w:r>
            <w:bookmarkStart w:id="0" w:name="_GoBack"/>
            <w:bookmarkEnd w:id="0"/>
            <w:r w:rsidRPr="00172210">
              <w:rPr>
                <w:rFonts w:ascii="Times New Roman" w:hAnsi="Times New Roman"/>
              </w:rPr>
              <w:t xml:space="preserve">ces </w:t>
            </w:r>
            <w:proofErr w:type="spellStart"/>
            <w:r w:rsidRPr="00172210">
              <w:rPr>
                <w:rFonts w:ascii="Times New Roman" w:hAnsi="Times New Roman"/>
              </w:rPr>
              <w:t>diagnostyczno</w:t>
            </w:r>
            <w:proofErr w:type="spellEnd"/>
            <w:r w:rsidRPr="00172210">
              <w:rPr>
                <w:rFonts w:ascii="Times New Roman" w:hAnsi="Times New Roman"/>
              </w:rPr>
              <w:t xml:space="preserve"> – terapeutyczny w przebiegu ciąży oraz przydatność poszczególnych metod w określeniu dobrostanu i dojrzałości płodu.</w:t>
            </w:r>
          </w:p>
          <w:p w:rsidR="005C14C9" w:rsidRPr="00172210" w:rsidRDefault="005C14C9" w:rsidP="00203BF1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172210">
              <w:rPr>
                <w:sz w:val="22"/>
              </w:rPr>
              <w:t>Patofizjologia i objawy kliniczne chorób i stanów zagrożenia życia noworodka i wcześniaka oraz żywienie i specyfikę opieki nad noworodkiem w zależności od jego dojrzałości i stanu klinicznego.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40" w:lineRule="auto"/>
              <w:ind w:left="0" w:firstLine="0"/>
              <w:rPr>
                <w:sz w:val="22"/>
              </w:rPr>
            </w:pPr>
            <w:r w:rsidRPr="00172210">
              <w:rPr>
                <w:sz w:val="22"/>
              </w:rPr>
              <w:t>D.W37.</w:t>
            </w:r>
          </w:p>
          <w:p w:rsidR="005C14C9" w:rsidRPr="00172210" w:rsidRDefault="005C14C9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  <w:p w:rsidR="005C14C9" w:rsidRPr="00172210" w:rsidRDefault="005C14C9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  <w:p w:rsidR="005C14C9" w:rsidRPr="00172210" w:rsidRDefault="005C14C9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  <w:p w:rsidR="005C14C9" w:rsidRPr="00172210" w:rsidRDefault="005C14C9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  <w:p w:rsidR="005C14C9" w:rsidRPr="00172210" w:rsidRDefault="005C14C9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  <w:p w:rsidR="005C14C9" w:rsidRPr="00172210" w:rsidRDefault="005C14C9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  <w:p w:rsidR="005C14C9" w:rsidRPr="00172210" w:rsidRDefault="005C14C9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  <w:p w:rsidR="005C14C9" w:rsidRPr="00172210" w:rsidRDefault="005C14C9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  <w:p w:rsidR="005C14C9" w:rsidRPr="00172210" w:rsidRDefault="005C14C9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D.W38.</w:t>
            </w:r>
          </w:p>
        </w:tc>
      </w:tr>
      <w:tr w:rsidR="005C14C9" w:rsidRPr="00172210" w:rsidTr="00172210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P_W02</w:t>
            </w:r>
            <w:r w:rsidRPr="00172210">
              <w:rPr>
                <w:b/>
                <w:sz w:val="22"/>
              </w:rPr>
              <w:t xml:space="preserve"> </w:t>
            </w:r>
          </w:p>
        </w:tc>
        <w:tc>
          <w:tcPr>
            <w:tcW w:w="5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172210">
            <w:pPr>
              <w:spacing w:after="0" w:line="240" w:lineRule="auto"/>
              <w:ind w:left="0" w:right="92" w:firstLine="0"/>
              <w:rPr>
                <w:sz w:val="22"/>
              </w:rPr>
            </w:pPr>
            <w:r w:rsidRPr="00172210">
              <w:rPr>
                <w:sz w:val="22"/>
              </w:rPr>
              <w:t>Zasady pielęgnowania noworodka zdrowego, chorego, z wadami i urazami okołoporodowymi, w tym noworodka pacjentki chorej na AIDS lub zakażonej wirusem HIV.</w:t>
            </w:r>
          </w:p>
          <w:p w:rsidR="005C14C9" w:rsidRPr="00172210" w:rsidRDefault="005C14C9" w:rsidP="00172210">
            <w:pPr>
              <w:spacing w:after="0" w:line="240" w:lineRule="auto"/>
              <w:ind w:left="0" w:right="92"/>
              <w:rPr>
                <w:sz w:val="22"/>
              </w:rPr>
            </w:pPr>
            <w:r w:rsidRPr="00172210">
              <w:rPr>
                <w:sz w:val="22"/>
              </w:rPr>
              <w:t>Zasady prowadzenia fototerapii i tlenoterapii noworodka.</w:t>
            </w:r>
          </w:p>
          <w:p w:rsidR="005C14C9" w:rsidRPr="00172210" w:rsidRDefault="005C14C9" w:rsidP="00172210">
            <w:pPr>
              <w:spacing w:after="0" w:line="259" w:lineRule="auto"/>
              <w:ind w:left="0" w:right="92" w:firstLine="0"/>
              <w:rPr>
                <w:sz w:val="22"/>
              </w:rPr>
            </w:pPr>
            <w:r w:rsidRPr="00172210">
              <w:rPr>
                <w:sz w:val="22"/>
              </w:rPr>
              <w:t>Zasady organizacji opieki neonatologicznej i intensywnego nadzoru nad noworodkiem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D. W39.</w:t>
            </w:r>
          </w:p>
          <w:p w:rsidR="005C14C9" w:rsidRPr="00172210" w:rsidRDefault="005C14C9" w:rsidP="00330CA7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  <w:p w:rsidR="005C14C9" w:rsidRPr="00172210" w:rsidRDefault="005C14C9" w:rsidP="00330CA7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D.W40.</w:t>
            </w:r>
          </w:p>
          <w:p w:rsidR="005C14C9" w:rsidRPr="00172210" w:rsidRDefault="005C14C9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  <w:p w:rsidR="005C14C9" w:rsidRPr="00172210" w:rsidRDefault="005C14C9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  <w:p w:rsidR="005C14C9" w:rsidRPr="00172210" w:rsidRDefault="005C14C9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  <w:p w:rsidR="005C14C9" w:rsidRPr="00172210" w:rsidRDefault="005C14C9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  <w:p w:rsidR="005C14C9" w:rsidRPr="00172210" w:rsidRDefault="005C14C9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D.W41.</w:t>
            </w:r>
          </w:p>
        </w:tc>
      </w:tr>
      <w:tr w:rsidR="005C14C9" w:rsidRPr="00172210" w:rsidTr="00172210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P_U36</w:t>
            </w:r>
            <w:r w:rsidRPr="00172210">
              <w:rPr>
                <w:b/>
                <w:sz w:val="22"/>
              </w:rPr>
              <w:t xml:space="preserve"> </w:t>
            </w:r>
          </w:p>
        </w:tc>
        <w:tc>
          <w:tcPr>
            <w:tcW w:w="5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 xml:space="preserve">Planowanie i sprawowanie specjalistycznej opieki nad noworodkiem w zależności od jego dojrzałości, masy urodzeniowej ciała i stanu klinicznego w warunkach szpitalnych i </w:t>
            </w:r>
            <w:proofErr w:type="spellStart"/>
            <w:r w:rsidRPr="00172210">
              <w:rPr>
                <w:sz w:val="22"/>
              </w:rPr>
              <w:t>pozaszpitalnych</w:t>
            </w:r>
            <w:proofErr w:type="spellEnd"/>
            <w:r w:rsidRPr="00172210">
              <w:rPr>
                <w:sz w:val="22"/>
              </w:rPr>
              <w:t>;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D.U36.</w:t>
            </w:r>
          </w:p>
        </w:tc>
      </w:tr>
      <w:tr w:rsidR="005C14C9" w:rsidRPr="00172210" w:rsidTr="00172210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lastRenderedPageBreak/>
              <w:t>P_U37</w:t>
            </w:r>
          </w:p>
        </w:tc>
        <w:tc>
          <w:tcPr>
            <w:tcW w:w="5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Ocena stanu noworodka i uczestniczenie w badaniach diagnostycznych noworodka;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 xml:space="preserve"> D.U37.</w:t>
            </w:r>
          </w:p>
        </w:tc>
      </w:tr>
      <w:tr w:rsidR="005C14C9" w:rsidRPr="00172210" w:rsidTr="00172210">
        <w:trPr>
          <w:trHeight w:val="26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P_U38</w:t>
            </w:r>
          </w:p>
        </w:tc>
        <w:tc>
          <w:tcPr>
            <w:tcW w:w="5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 xml:space="preserve"> ocena wydolności opiekuńczej rodziców noworodka zdrowego, chorego i z wadami rozwojowymi oraz podejmowanie wobec rodziców noworodka działań edukacyjnych promujących zdrowie, przygotowując ich do opieki nad dzieckiem w domu;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C9" w:rsidRPr="00172210" w:rsidRDefault="005C14C9" w:rsidP="00330CA7">
            <w:pPr>
              <w:spacing w:after="0" w:line="240" w:lineRule="auto"/>
              <w:ind w:left="0" w:firstLine="0"/>
              <w:rPr>
                <w:sz w:val="22"/>
              </w:rPr>
            </w:pPr>
            <w:r w:rsidRPr="00172210">
              <w:rPr>
                <w:sz w:val="22"/>
              </w:rPr>
              <w:t>D.U38.</w:t>
            </w:r>
          </w:p>
        </w:tc>
      </w:tr>
      <w:tr w:rsidR="005C14C9" w:rsidRPr="00172210" w:rsidTr="00172210">
        <w:trPr>
          <w:trHeight w:val="51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C14C9" w:rsidRPr="00172210" w:rsidRDefault="005C14C9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72210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C14C9" w:rsidRPr="00172210" w:rsidRDefault="005C14C9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72210">
              <w:rPr>
                <w:b/>
                <w:sz w:val="22"/>
              </w:rPr>
              <w:t xml:space="preserve">Liczba godzin </w:t>
            </w:r>
          </w:p>
        </w:tc>
      </w:tr>
      <w:tr w:rsidR="005C14C9" w:rsidRPr="00172210" w:rsidTr="00172210">
        <w:trPr>
          <w:trHeight w:val="265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72210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172210">
              <w:rPr>
                <w:b/>
                <w:sz w:val="22"/>
              </w:rPr>
              <w:t>20</w:t>
            </w:r>
          </w:p>
        </w:tc>
      </w:tr>
      <w:tr w:rsidR="005C14C9" w:rsidRPr="00172210" w:rsidTr="00172210">
        <w:trPr>
          <w:trHeight w:val="262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172210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240" w:lineRule="auto"/>
              <w:ind w:left="321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 xml:space="preserve">Czynniki warunkujące prawidłowy rozwój prenatalny i postnatalny: </w:t>
            </w:r>
            <w:r w:rsidRPr="00172210">
              <w:rPr>
                <w:rFonts w:ascii="Times New Roman" w:hAnsi="Times New Roman"/>
              </w:rPr>
              <w:br/>
              <w:t>Zmiany adaptacyjne w organizmie kobiety ciężarnej;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ind w:left="746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Prenatalny okres życia człowieka;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ind w:left="746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 xml:space="preserve">Proces </w:t>
            </w:r>
            <w:proofErr w:type="spellStart"/>
            <w:r w:rsidRPr="00172210">
              <w:rPr>
                <w:rFonts w:ascii="Times New Roman" w:hAnsi="Times New Roman"/>
              </w:rPr>
              <w:t>diagnostyczno</w:t>
            </w:r>
            <w:proofErr w:type="spellEnd"/>
            <w:r w:rsidRPr="00172210">
              <w:rPr>
                <w:rFonts w:ascii="Times New Roman" w:hAnsi="Times New Roman"/>
              </w:rPr>
              <w:t xml:space="preserve"> – terapeutyczny w przebiegu ciąży oraz przydatność poszczególnych metod w określeniu dobrostanu i dojrzałości płodu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59" w:lineRule="auto"/>
              <w:ind w:left="746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Patofizjologia i objawy kliniczne chorób i stanów zagrożenia życia noworodka i wcześniaka oraz żywienie i specyfikę opieki nad noworodkiem w zależności od jego dojrzałości i stanu klinicznego;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172210">
              <w:rPr>
                <w:b/>
                <w:sz w:val="22"/>
              </w:rPr>
              <w:t>5</w:t>
            </w:r>
          </w:p>
        </w:tc>
      </w:tr>
      <w:tr w:rsidR="005C14C9" w:rsidRPr="00172210" w:rsidTr="00172210">
        <w:trPr>
          <w:trHeight w:val="1440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172210">
            <w:pPr>
              <w:spacing w:after="0" w:line="240" w:lineRule="auto"/>
              <w:ind w:left="0" w:right="0"/>
              <w:rPr>
                <w:sz w:val="22"/>
              </w:rPr>
            </w:pPr>
            <w:r w:rsidRPr="00172210">
              <w:rPr>
                <w:sz w:val="22"/>
              </w:rPr>
              <w:t>1. Zasady pielęgnowania noworodka zdrowego, chorego, z wadami i urazami okołoporodowymi, w tym noworodka pacjentki chorej na AIDS lub zakażonej wirusem HIV</w:t>
            </w:r>
          </w:p>
          <w:p w:rsidR="005C14C9" w:rsidRPr="00172210" w:rsidRDefault="005C14C9" w:rsidP="00172210">
            <w:pPr>
              <w:spacing w:after="0" w:line="240" w:lineRule="auto"/>
              <w:ind w:left="0" w:right="0"/>
              <w:rPr>
                <w:sz w:val="22"/>
              </w:rPr>
            </w:pPr>
            <w:r w:rsidRPr="00172210">
              <w:rPr>
                <w:sz w:val="22"/>
              </w:rPr>
              <w:t>2. Zasady prowadzenia fototerapii i tlenoterapii noworodka</w:t>
            </w:r>
          </w:p>
          <w:p w:rsidR="005C14C9" w:rsidRPr="00172210" w:rsidRDefault="005C14C9" w:rsidP="00172210">
            <w:pPr>
              <w:spacing w:after="0" w:line="240" w:lineRule="auto"/>
              <w:ind w:left="0" w:right="0"/>
              <w:rPr>
                <w:sz w:val="22"/>
              </w:rPr>
            </w:pPr>
            <w:r w:rsidRPr="00172210">
              <w:rPr>
                <w:sz w:val="22"/>
              </w:rPr>
              <w:t>3. Zasady organizacji opieki neonatologicznej i intensywnego nadzoru nad noworodkiem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172210">
              <w:rPr>
                <w:b/>
                <w:sz w:val="22"/>
              </w:rPr>
              <w:t xml:space="preserve">5 </w:t>
            </w:r>
          </w:p>
        </w:tc>
      </w:tr>
      <w:tr w:rsidR="005C14C9" w:rsidRPr="00172210" w:rsidTr="00172210">
        <w:trPr>
          <w:trHeight w:val="1688"/>
        </w:trPr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172210">
            <w:pPr>
              <w:spacing w:after="0"/>
              <w:ind w:left="0" w:right="0"/>
              <w:rPr>
                <w:sz w:val="22"/>
              </w:rPr>
            </w:pPr>
            <w:r w:rsidRPr="00172210">
              <w:rPr>
                <w:bCs/>
                <w:sz w:val="22"/>
              </w:rPr>
              <w:t>1. Specyfika opieki nad noworodkiem bezpośrednio po urodzeniu i w dobach późniejszych (</w:t>
            </w:r>
            <w:r w:rsidRPr="00172210">
              <w:rPr>
                <w:sz w:val="22"/>
              </w:rPr>
              <w:t xml:space="preserve">Ocena objawów życiowych noworodka; Ocena dojrzałości noworodka w skali NBS /New </w:t>
            </w:r>
            <w:proofErr w:type="spellStart"/>
            <w:r w:rsidRPr="00172210">
              <w:rPr>
                <w:sz w:val="22"/>
              </w:rPr>
              <w:t>Ballard</w:t>
            </w:r>
            <w:proofErr w:type="spellEnd"/>
            <w:r w:rsidRPr="00172210">
              <w:rPr>
                <w:sz w:val="22"/>
              </w:rPr>
              <w:t xml:space="preserve"> </w:t>
            </w:r>
            <w:proofErr w:type="spellStart"/>
            <w:r w:rsidRPr="00172210">
              <w:rPr>
                <w:sz w:val="22"/>
              </w:rPr>
              <w:t>Score</w:t>
            </w:r>
            <w:proofErr w:type="spellEnd"/>
            <w:r w:rsidRPr="00172210">
              <w:rPr>
                <w:sz w:val="22"/>
              </w:rPr>
              <w:t>/; Postępowanie z noworodkiem dojrzałym i niedojrzałym po urodzeniu  i w dobach późniejszych)</w:t>
            </w:r>
          </w:p>
          <w:p w:rsidR="005C14C9" w:rsidRPr="00172210" w:rsidRDefault="005C14C9" w:rsidP="00172210">
            <w:pPr>
              <w:spacing w:after="0" w:line="259" w:lineRule="auto"/>
              <w:ind w:left="0" w:right="0"/>
              <w:jc w:val="left"/>
              <w:rPr>
                <w:b/>
                <w:sz w:val="22"/>
              </w:rPr>
            </w:pPr>
            <w:r w:rsidRPr="00172210">
              <w:rPr>
                <w:bCs/>
                <w:sz w:val="22"/>
              </w:rPr>
              <w:t>2. Noworodek niedojrzały (</w:t>
            </w:r>
            <w:r w:rsidRPr="00172210">
              <w:rPr>
                <w:sz w:val="22"/>
              </w:rPr>
              <w:t>Badanie fizykalne noworodka – ocena dojrzałości, metody i skale)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/>
              <w:jc w:val="center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>5</w:t>
            </w:r>
          </w:p>
        </w:tc>
      </w:tr>
      <w:tr w:rsidR="005C14C9" w:rsidRPr="00172210" w:rsidTr="00172210">
        <w:trPr>
          <w:trHeight w:val="255"/>
        </w:trPr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172210">
            <w:pPr>
              <w:tabs>
                <w:tab w:val="left" w:pos="2174"/>
              </w:tabs>
              <w:spacing w:after="0"/>
              <w:ind w:left="0" w:right="0"/>
              <w:rPr>
                <w:sz w:val="22"/>
              </w:rPr>
            </w:pPr>
            <w:r w:rsidRPr="00172210">
              <w:rPr>
                <w:bCs/>
                <w:sz w:val="22"/>
              </w:rPr>
              <w:t>1. Intensywna terapia noworodka - monitorowanie stanu noworodka (</w:t>
            </w:r>
            <w:r w:rsidRPr="00172210">
              <w:rPr>
                <w:sz w:val="22"/>
              </w:rPr>
              <w:t>Najczęstsze przyczyny poważnych zaburzeń stanu zdrowia; Rozpoznanie noworodków z grupy ryzyka; Zasady resuscytacji i reanimacji noworodka; Zasady monitorowania noworodka; Postępowanie pielęgnacyjne położnej wobec noworodków z grupy ryzyka)</w:t>
            </w:r>
          </w:p>
          <w:p w:rsidR="005C14C9" w:rsidRPr="00172210" w:rsidRDefault="005C14C9" w:rsidP="00172210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172210">
              <w:rPr>
                <w:bCs/>
                <w:sz w:val="22"/>
              </w:rPr>
              <w:t>2. Transport noworodka (</w:t>
            </w:r>
            <w:r w:rsidRPr="00172210">
              <w:rPr>
                <w:sz w:val="22"/>
              </w:rPr>
              <w:t xml:space="preserve">Wady rozwojowe wymagające natychmiastowej interwencji; transport in </w:t>
            </w:r>
            <w:proofErr w:type="spellStart"/>
            <w:r w:rsidRPr="00172210">
              <w:rPr>
                <w:sz w:val="22"/>
              </w:rPr>
              <w:t>utero</w:t>
            </w:r>
            <w:proofErr w:type="spellEnd"/>
            <w:r w:rsidRPr="00172210">
              <w:rPr>
                <w:sz w:val="22"/>
              </w:rPr>
              <w:t>; transport wewnątrzszpitalny; transport do ośrodka nadrzędnego)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/>
              <w:jc w:val="center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>5</w:t>
            </w:r>
          </w:p>
        </w:tc>
      </w:tr>
      <w:tr w:rsidR="005C14C9" w:rsidRPr="00172210" w:rsidTr="00172210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72210">
              <w:rPr>
                <w:b/>
                <w:sz w:val="22"/>
              </w:rPr>
              <w:t>21.2. Ćwiczenia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172210">
              <w:rPr>
                <w:b/>
                <w:sz w:val="22"/>
              </w:rPr>
              <w:t xml:space="preserve">30 </w:t>
            </w:r>
          </w:p>
        </w:tc>
      </w:tr>
      <w:tr w:rsidR="005C14C9" w:rsidRPr="00172210" w:rsidTr="00172210">
        <w:trPr>
          <w:trHeight w:val="262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172210">
            <w:pPr>
              <w:spacing w:line="240" w:lineRule="auto"/>
              <w:ind w:left="0"/>
              <w:rPr>
                <w:sz w:val="22"/>
              </w:rPr>
            </w:pPr>
            <w:r w:rsidRPr="00172210">
              <w:rPr>
                <w:bCs/>
                <w:sz w:val="22"/>
              </w:rPr>
              <w:t>1. Karmienie naturalne i sztuczne: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8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Warunki realizacji programu „10 kroków do udanego karmienia piersią”;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8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Karmienia noworodka pokarmem naturalnym;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8"/>
              </w:numPr>
              <w:suppressAutoHyphens w:val="0"/>
              <w:snapToGrid w:val="0"/>
              <w:spacing w:line="240" w:lineRule="auto"/>
              <w:ind w:left="604"/>
              <w:rPr>
                <w:rFonts w:ascii="Times New Roman" w:hAnsi="Times New Roman"/>
                <w:bCs/>
              </w:rPr>
            </w:pPr>
            <w:r w:rsidRPr="00172210">
              <w:rPr>
                <w:rFonts w:ascii="Times New Roman" w:hAnsi="Times New Roman"/>
              </w:rPr>
              <w:t>Specyfika problemów pielęgnacyjnych u noworodka karmionego sztucznie;</w:t>
            </w:r>
          </w:p>
          <w:p w:rsidR="005C14C9" w:rsidRPr="00172210" w:rsidRDefault="005C14C9" w:rsidP="00172210">
            <w:pPr>
              <w:snapToGrid w:val="0"/>
              <w:spacing w:line="240" w:lineRule="auto"/>
              <w:ind w:left="0"/>
              <w:rPr>
                <w:sz w:val="22"/>
              </w:rPr>
            </w:pPr>
            <w:r w:rsidRPr="00172210">
              <w:rPr>
                <w:bCs/>
                <w:sz w:val="22"/>
              </w:rPr>
              <w:t>2. Metoda kangura: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8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Znaczenie dotyku w opiece nad noworodkiem chorym i z grupy ryzyka;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8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Sposoby zapewnienia poczucia bezpieczeństwa u noworodka;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8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o Techniki, metody i sposoby pielęgnacji noworodka w oddziale patologii noworodka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172210">
              <w:rPr>
                <w:b/>
                <w:sz w:val="22"/>
              </w:rPr>
              <w:t xml:space="preserve">10 </w:t>
            </w:r>
          </w:p>
        </w:tc>
      </w:tr>
      <w:tr w:rsidR="005C14C9" w:rsidRPr="00172210" w:rsidTr="00172210">
        <w:trPr>
          <w:trHeight w:val="4657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172210">
            <w:pPr>
              <w:spacing w:line="240" w:lineRule="auto"/>
              <w:ind w:left="0"/>
              <w:rPr>
                <w:sz w:val="22"/>
              </w:rPr>
            </w:pPr>
            <w:r w:rsidRPr="00172210">
              <w:rPr>
                <w:bCs/>
                <w:sz w:val="22"/>
              </w:rPr>
              <w:lastRenderedPageBreak/>
              <w:t>1. Specyfika opieki nad noworodkiem bezpośrednio po urodzeniu i w dobach późniejszych: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7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 xml:space="preserve">Ocena objawów życiowych noworodka; 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7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 xml:space="preserve">Ocena dojrzałości noworodka w skali NBS /New </w:t>
            </w:r>
            <w:proofErr w:type="spellStart"/>
            <w:r w:rsidRPr="00172210">
              <w:rPr>
                <w:rFonts w:ascii="Times New Roman" w:hAnsi="Times New Roman"/>
              </w:rPr>
              <w:t>Ballard</w:t>
            </w:r>
            <w:proofErr w:type="spellEnd"/>
            <w:r w:rsidRPr="00172210">
              <w:rPr>
                <w:rFonts w:ascii="Times New Roman" w:hAnsi="Times New Roman"/>
              </w:rPr>
              <w:t xml:space="preserve"> </w:t>
            </w:r>
            <w:proofErr w:type="spellStart"/>
            <w:r w:rsidRPr="00172210">
              <w:rPr>
                <w:rFonts w:ascii="Times New Roman" w:hAnsi="Times New Roman"/>
              </w:rPr>
              <w:t>Score</w:t>
            </w:r>
            <w:proofErr w:type="spellEnd"/>
            <w:r w:rsidRPr="00172210">
              <w:rPr>
                <w:rFonts w:ascii="Times New Roman" w:hAnsi="Times New Roman"/>
              </w:rPr>
              <w:t>/;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7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  <w:bCs/>
              </w:rPr>
            </w:pPr>
            <w:r w:rsidRPr="00172210">
              <w:rPr>
                <w:rFonts w:ascii="Times New Roman" w:hAnsi="Times New Roman"/>
              </w:rPr>
              <w:t>Postępowanie z noworodkiem dojrzałym i niedojrzałym po urodzeniu  i w dobach późniejszych;</w:t>
            </w:r>
          </w:p>
          <w:p w:rsidR="005C14C9" w:rsidRPr="00172210" w:rsidRDefault="005C14C9" w:rsidP="00172210">
            <w:pPr>
              <w:spacing w:line="240" w:lineRule="auto"/>
              <w:ind w:left="37"/>
              <w:rPr>
                <w:sz w:val="22"/>
              </w:rPr>
            </w:pPr>
            <w:r w:rsidRPr="00172210">
              <w:rPr>
                <w:bCs/>
                <w:sz w:val="22"/>
              </w:rPr>
              <w:t>2. Badania przesiewowe noworodków: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7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Znaczenie badań przesiewowych w opiece nad noworodkiem;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7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  <w:bCs/>
              </w:rPr>
            </w:pPr>
            <w:r w:rsidRPr="00172210">
              <w:rPr>
                <w:rFonts w:ascii="Times New Roman" w:hAnsi="Times New Roman"/>
              </w:rPr>
              <w:t xml:space="preserve">Pobieranie materiału do badań przesiewowych – test na </w:t>
            </w:r>
            <w:proofErr w:type="spellStart"/>
            <w:r w:rsidRPr="00172210">
              <w:rPr>
                <w:rFonts w:ascii="Times New Roman" w:hAnsi="Times New Roman"/>
              </w:rPr>
              <w:t>fenyloketonurię</w:t>
            </w:r>
            <w:proofErr w:type="spellEnd"/>
            <w:r w:rsidRPr="00172210">
              <w:rPr>
                <w:rFonts w:ascii="Times New Roman" w:hAnsi="Times New Roman"/>
              </w:rPr>
              <w:t xml:space="preserve">,  </w:t>
            </w:r>
            <w:proofErr w:type="spellStart"/>
            <w:r w:rsidRPr="00172210">
              <w:rPr>
                <w:rFonts w:ascii="Times New Roman" w:hAnsi="Times New Roman"/>
              </w:rPr>
              <w:t>hypotyreozę</w:t>
            </w:r>
            <w:proofErr w:type="spellEnd"/>
            <w:r w:rsidRPr="00172210">
              <w:rPr>
                <w:rFonts w:ascii="Times New Roman" w:hAnsi="Times New Roman"/>
              </w:rPr>
              <w:t>,  mukowiscydozę;</w:t>
            </w:r>
          </w:p>
          <w:p w:rsidR="005C14C9" w:rsidRPr="00172210" w:rsidRDefault="005C14C9" w:rsidP="00172210">
            <w:pPr>
              <w:spacing w:line="240" w:lineRule="auto"/>
              <w:ind w:left="0"/>
              <w:rPr>
                <w:sz w:val="22"/>
              </w:rPr>
            </w:pPr>
            <w:r w:rsidRPr="00172210">
              <w:rPr>
                <w:bCs/>
                <w:sz w:val="22"/>
              </w:rPr>
              <w:t>3. Metody badania narządu słuchu u dzieci i postępowanie lecznicze: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7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  <w:bCs/>
              </w:rPr>
            </w:pPr>
            <w:r w:rsidRPr="00172210">
              <w:rPr>
                <w:rFonts w:ascii="Times New Roman" w:hAnsi="Times New Roman"/>
              </w:rPr>
              <w:t>Badania w kierunku wykrywania niedosłuchu u noworodków;</w:t>
            </w:r>
          </w:p>
          <w:p w:rsidR="005C14C9" w:rsidRPr="00172210" w:rsidRDefault="005C14C9" w:rsidP="00172210">
            <w:pPr>
              <w:spacing w:line="240" w:lineRule="auto"/>
              <w:ind w:left="0"/>
              <w:rPr>
                <w:sz w:val="22"/>
              </w:rPr>
            </w:pPr>
            <w:r w:rsidRPr="00172210">
              <w:rPr>
                <w:bCs/>
                <w:sz w:val="22"/>
              </w:rPr>
              <w:t xml:space="preserve">4. </w:t>
            </w:r>
            <w:proofErr w:type="spellStart"/>
            <w:r w:rsidRPr="00172210">
              <w:rPr>
                <w:bCs/>
                <w:sz w:val="22"/>
              </w:rPr>
              <w:t>Pedoaudiologia</w:t>
            </w:r>
            <w:proofErr w:type="spellEnd"/>
            <w:r w:rsidRPr="00172210">
              <w:rPr>
                <w:bCs/>
                <w:sz w:val="22"/>
              </w:rPr>
              <w:t xml:space="preserve"> - niedosłuchy występujące u dzieci: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 xml:space="preserve">Znaczenie słuchu dla prawidłowego rozwoju noworodka; 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6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 xml:space="preserve">Badanie przesiewowe w oddziale szpitalnym; </w:t>
            </w:r>
            <w:r w:rsidRPr="00172210">
              <w:rPr>
                <w:rFonts w:ascii="Times New Roman" w:hAnsi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172210">
              <w:rPr>
                <w:b/>
                <w:sz w:val="22"/>
              </w:rPr>
              <w:t>10</w:t>
            </w:r>
          </w:p>
        </w:tc>
      </w:tr>
      <w:tr w:rsidR="005C14C9" w:rsidRPr="00172210" w:rsidTr="00172210">
        <w:trPr>
          <w:trHeight w:val="3974"/>
        </w:trPr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172210">
            <w:pPr>
              <w:spacing w:line="240" w:lineRule="auto"/>
              <w:ind w:left="0"/>
              <w:jc w:val="left"/>
              <w:rPr>
                <w:sz w:val="22"/>
              </w:rPr>
            </w:pPr>
            <w:r w:rsidRPr="00172210">
              <w:rPr>
                <w:bCs/>
                <w:sz w:val="22"/>
              </w:rPr>
              <w:t>1. Noworodek niedojrzały: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9"/>
              </w:numPr>
              <w:tabs>
                <w:tab w:val="left" w:pos="2174"/>
              </w:tabs>
              <w:suppressAutoHyphens w:val="0"/>
              <w:spacing w:line="240" w:lineRule="auto"/>
              <w:ind w:left="604"/>
              <w:rPr>
                <w:rFonts w:ascii="Times New Roman" w:hAnsi="Times New Roman"/>
                <w:bCs/>
              </w:rPr>
            </w:pPr>
            <w:r w:rsidRPr="00172210">
              <w:rPr>
                <w:rFonts w:ascii="Times New Roman" w:hAnsi="Times New Roman"/>
              </w:rPr>
              <w:t>Badanie fizykalne noworodka – ocena dojrzałości, metody i skale;</w:t>
            </w:r>
          </w:p>
          <w:p w:rsidR="005C14C9" w:rsidRPr="00172210" w:rsidRDefault="005C14C9" w:rsidP="00172210">
            <w:pPr>
              <w:tabs>
                <w:tab w:val="left" w:pos="2174"/>
              </w:tabs>
              <w:spacing w:line="240" w:lineRule="auto"/>
              <w:ind w:left="0"/>
              <w:jc w:val="left"/>
              <w:rPr>
                <w:sz w:val="22"/>
              </w:rPr>
            </w:pPr>
            <w:r w:rsidRPr="00172210">
              <w:rPr>
                <w:bCs/>
                <w:sz w:val="22"/>
              </w:rPr>
              <w:t>2. Intensywna terapia noworodka - monitorowanie stanu noworodka: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9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Najczęstsze przyczyny poważnych zaburzeń stanu zdrowia;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9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Rozpoznanie noworodków z grupy ryzyka;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9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Zasady resuscytacji i reanimacji noworodka;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9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Zasady monitorowania noworodka;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9"/>
              </w:numPr>
              <w:tabs>
                <w:tab w:val="left" w:pos="2174"/>
              </w:tabs>
              <w:suppressAutoHyphens w:val="0"/>
              <w:spacing w:line="240" w:lineRule="auto"/>
              <w:ind w:left="604"/>
              <w:rPr>
                <w:rFonts w:ascii="Times New Roman" w:hAnsi="Times New Roman"/>
                <w:bCs/>
              </w:rPr>
            </w:pPr>
            <w:r w:rsidRPr="00172210">
              <w:rPr>
                <w:rFonts w:ascii="Times New Roman" w:hAnsi="Times New Roman"/>
              </w:rPr>
              <w:t>Postępowanie pielęgnacyjne położnej wobec noworodków z grupy ryzyka;</w:t>
            </w:r>
          </w:p>
          <w:p w:rsidR="005C14C9" w:rsidRPr="00172210" w:rsidRDefault="005C14C9" w:rsidP="00172210">
            <w:pPr>
              <w:tabs>
                <w:tab w:val="left" w:pos="2174"/>
              </w:tabs>
              <w:spacing w:line="240" w:lineRule="auto"/>
              <w:ind w:left="37"/>
              <w:jc w:val="left"/>
              <w:rPr>
                <w:sz w:val="22"/>
              </w:rPr>
            </w:pPr>
            <w:r w:rsidRPr="00172210">
              <w:rPr>
                <w:bCs/>
                <w:sz w:val="22"/>
              </w:rPr>
              <w:t>3. Transport noworodka: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9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Wady rozwojowe wymagające natychmiastowej interwencji;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9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 xml:space="preserve">Transport in </w:t>
            </w:r>
            <w:proofErr w:type="spellStart"/>
            <w:r w:rsidRPr="00172210">
              <w:rPr>
                <w:rFonts w:ascii="Times New Roman" w:hAnsi="Times New Roman"/>
              </w:rPr>
              <w:t>utero</w:t>
            </w:r>
            <w:proofErr w:type="spellEnd"/>
            <w:r w:rsidRPr="00172210">
              <w:rPr>
                <w:rFonts w:ascii="Times New Roman" w:hAnsi="Times New Roman"/>
              </w:rPr>
              <w:t>;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9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</w:rPr>
            </w:pPr>
            <w:r w:rsidRPr="00172210">
              <w:rPr>
                <w:rFonts w:ascii="Times New Roman" w:hAnsi="Times New Roman"/>
              </w:rPr>
              <w:t>Transport wewnątrzszpitalny;</w:t>
            </w:r>
          </w:p>
          <w:p w:rsidR="005C14C9" w:rsidRPr="00172210" w:rsidRDefault="005C14C9" w:rsidP="00172210">
            <w:pPr>
              <w:pStyle w:val="Akapitzlist"/>
              <w:numPr>
                <w:ilvl w:val="0"/>
                <w:numId w:val="9"/>
              </w:numPr>
              <w:suppressAutoHyphens w:val="0"/>
              <w:spacing w:line="240" w:lineRule="auto"/>
              <w:ind w:left="604"/>
              <w:rPr>
                <w:rFonts w:ascii="Times New Roman" w:hAnsi="Times New Roman"/>
                <w:b/>
              </w:rPr>
            </w:pPr>
            <w:r w:rsidRPr="00172210">
              <w:rPr>
                <w:rFonts w:ascii="Times New Roman" w:hAnsi="Times New Roman"/>
              </w:rPr>
              <w:t>Transport do ośrodka nadrzędnego;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/>
              <w:jc w:val="center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>10</w:t>
            </w:r>
          </w:p>
        </w:tc>
      </w:tr>
      <w:tr w:rsidR="005C14C9" w:rsidRPr="00172210" w:rsidTr="00172210">
        <w:trPr>
          <w:trHeight w:val="331"/>
        </w:trPr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172210">
            <w:pPr>
              <w:ind w:left="0" w:firstLine="0"/>
              <w:jc w:val="left"/>
              <w:rPr>
                <w:b/>
                <w:bCs/>
                <w:sz w:val="22"/>
              </w:rPr>
            </w:pPr>
            <w:r w:rsidRPr="00172210">
              <w:rPr>
                <w:b/>
                <w:bCs/>
                <w:sz w:val="22"/>
              </w:rPr>
              <w:t>21.3 Zajęcia praktyczne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/>
              <w:jc w:val="center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>80</w:t>
            </w:r>
          </w:p>
        </w:tc>
      </w:tr>
      <w:tr w:rsidR="005C14C9" w:rsidRPr="00172210" w:rsidTr="00172210">
        <w:trPr>
          <w:trHeight w:val="420"/>
        </w:trPr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172210">
            <w:pPr>
              <w:spacing w:line="240" w:lineRule="auto"/>
              <w:ind w:left="0" w:right="0"/>
              <w:jc w:val="left"/>
              <w:rPr>
                <w:b/>
                <w:bCs/>
                <w:sz w:val="22"/>
              </w:rPr>
            </w:pPr>
            <w:r w:rsidRPr="00172210">
              <w:rPr>
                <w:sz w:val="22"/>
              </w:rPr>
              <w:t>Kompetencje położnej w ocenie czynników warunkujących prawidłowy przebieg ciąży. Położna w opiece przedporodowej nad matką i dzieckiem. Rola położnej w zapewnieniu prawidłowego przebiegu porodu.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/>
              <w:jc w:val="center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>10</w:t>
            </w:r>
          </w:p>
        </w:tc>
      </w:tr>
      <w:tr w:rsidR="005C14C9" w:rsidRPr="00172210" w:rsidTr="00172210">
        <w:trPr>
          <w:trHeight w:val="285"/>
        </w:trPr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172210">
            <w:pPr>
              <w:ind w:left="0" w:right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 xml:space="preserve">Kompetencje położnej w badaniu noworodka i ocenie stanu bezpośrednio po porodzie / skala </w:t>
            </w:r>
            <w:proofErr w:type="spellStart"/>
            <w:r w:rsidRPr="00172210">
              <w:rPr>
                <w:sz w:val="22"/>
              </w:rPr>
              <w:t>Apgar</w:t>
            </w:r>
            <w:proofErr w:type="spellEnd"/>
            <w:r w:rsidRPr="00172210">
              <w:rPr>
                <w:sz w:val="22"/>
              </w:rPr>
              <w:t>, odruchy fizjologiczne. Obserwacja i pielęgnacja noworodka w kolejnych dobach w warunkach szpitalnych. Ocena stanów przejściowych.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/>
              <w:jc w:val="center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>10</w:t>
            </w:r>
          </w:p>
        </w:tc>
      </w:tr>
      <w:tr w:rsidR="005C14C9" w:rsidRPr="00172210" w:rsidTr="00172210">
        <w:trPr>
          <w:trHeight w:val="675"/>
        </w:trPr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172210">
            <w:pPr>
              <w:ind w:left="0" w:right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Kompetencje położnej w zapewnieniu prawidłowego żywienia noworodków. Karmienie naturalne i sztuczne.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/>
              <w:jc w:val="center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>10</w:t>
            </w:r>
          </w:p>
        </w:tc>
      </w:tr>
      <w:tr w:rsidR="005C14C9" w:rsidRPr="00172210" w:rsidTr="00172210">
        <w:trPr>
          <w:trHeight w:val="975"/>
        </w:trPr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172210">
            <w:pPr>
              <w:ind w:left="0" w:right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Kompetencje położnej w realizacji badań przesiewowych u noworodka. Rodzaje badań przesiewowych. Zasady pobierania materiału i wykonywania badań.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/>
              <w:jc w:val="center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>10</w:t>
            </w:r>
          </w:p>
        </w:tc>
      </w:tr>
      <w:tr w:rsidR="005C14C9" w:rsidRPr="00172210" w:rsidTr="00172210">
        <w:trPr>
          <w:trHeight w:val="585"/>
        </w:trPr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172210">
            <w:pPr>
              <w:ind w:left="0" w:right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Kompetencje położnej w badaniu fizykalnym noworodka dojrzałego i niedojrzałego. Klasyfikowanie noworodków do grup ryzyka.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/>
              <w:jc w:val="center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>10</w:t>
            </w:r>
          </w:p>
        </w:tc>
      </w:tr>
      <w:tr w:rsidR="005C14C9" w:rsidRPr="00172210" w:rsidTr="00172210">
        <w:trPr>
          <w:trHeight w:val="150"/>
        </w:trPr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172210">
            <w:pPr>
              <w:ind w:left="0" w:right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Kompetencje położnej w zapewnieniu prawidłowej opieki i pielęgnacji noworodka chorego. Kangurowanie jako element prawidłowej interakcji matka/ rodzice i dziecko;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/>
              <w:jc w:val="center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>10</w:t>
            </w:r>
          </w:p>
        </w:tc>
      </w:tr>
      <w:tr w:rsidR="005C14C9" w:rsidRPr="00172210" w:rsidTr="00172210">
        <w:trPr>
          <w:trHeight w:val="585"/>
        </w:trPr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172210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Kompetencje położnej w zapewnieniu prawidłowego transportu noworodka. Przygotowanie noworodka do transportu.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/>
              <w:jc w:val="center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>10</w:t>
            </w:r>
          </w:p>
        </w:tc>
      </w:tr>
      <w:tr w:rsidR="005C14C9" w:rsidRPr="00172210" w:rsidTr="00172210">
        <w:trPr>
          <w:trHeight w:val="240"/>
        </w:trPr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4C9" w:rsidRPr="00172210" w:rsidRDefault="005C14C9" w:rsidP="00172210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>Kompetencje położnej w zapobieganiu zakażeniom wewnątrzszpitalnym w oddziale noworodkowym. Znaczenie standardów opieki nad noworodkiem.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/>
              <w:jc w:val="center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>10</w:t>
            </w:r>
          </w:p>
        </w:tc>
      </w:tr>
      <w:tr w:rsidR="005C14C9" w:rsidRPr="00172210" w:rsidTr="00172210">
        <w:trPr>
          <w:trHeight w:val="262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172210">
            <w:pPr>
              <w:spacing w:after="0" w:line="259" w:lineRule="auto"/>
              <w:ind w:left="37" w:right="0"/>
              <w:jc w:val="left"/>
              <w:rPr>
                <w:sz w:val="22"/>
              </w:rPr>
            </w:pPr>
            <w:r w:rsidRPr="00172210">
              <w:rPr>
                <w:b/>
                <w:sz w:val="22"/>
              </w:rPr>
              <w:t>21.4. Samokształcenie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172210">
              <w:rPr>
                <w:b/>
                <w:sz w:val="22"/>
              </w:rPr>
              <w:t>35</w:t>
            </w:r>
          </w:p>
        </w:tc>
      </w:tr>
      <w:tr w:rsidR="005C14C9" w:rsidRPr="00172210" w:rsidTr="00172210">
        <w:trPr>
          <w:trHeight w:val="262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C14C9" w:rsidRPr="00172210" w:rsidRDefault="005C14C9" w:rsidP="00330CA7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lastRenderedPageBreak/>
              <w:t xml:space="preserve">21.5. Praktyka zawodowa </w:t>
            </w:r>
            <w:r w:rsidRPr="00172210">
              <w:rPr>
                <w:sz w:val="22"/>
              </w:rPr>
              <w:t>(załącznik: Karta przedmiotu – praktyka zawodowa).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14C9" w:rsidRPr="00172210" w:rsidRDefault="005C14C9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>80</w:t>
            </w:r>
          </w:p>
        </w:tc>
      </w:tr>
      <w:tr w:rsidR="00172210" w:rsidRPr="00172210" w:rsidTr="00275BFD">
        <w:trPr>
          <w:trHeight w:val="360"/>
        </w:trPr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72210" w:rsidRPr="00172210" w:rsidRDefault="00172210" w:rsidP="00172210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172210">
              <w:rPr>
                <w:b/>
                <w:sz w:val="22"/>
              </w:rPr>
              <w:t xml:space="preserve">22. Literatura </w:t>
            </w:r>
          </w:p>
        </w:tc>
      </w:tr>
      <w:tr w:rsidR="00172210" w:rsidRPr="00172210" w:rsidTr="00406D55">
        <w:trPr>
          <w:trHeight w:val="225"/>
        </w:trPr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72210" w:rsidRDefault="00172210" w:rsidP="0017221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proofErr w:type="spellStart"/>
            <w:r w:rsidRPr="00172210">
              <w:rPr>
                <w:rFonts w:ascii="Times New Roman" w:hAnsi="Times New Roman"/>
                <w:bCs/>
              </w:rPr>
              <w:t>Bałanda</w:t>
            </w:r>
            <w:proofErr w:type="spellEnd"/>
            <w:r w:rsidRPr="00172210">
              <w:rPr>
                <w:rFonts w:ascii="Times New Roman" w:hAnsi="Times New Roman"/>
                <w:bCs/>
              </w:rPr>
              <w:t xml:space="preserve"> A.: Opieka nad noworodkiem. PZWL Warszawa 2009.</w:t>
            </w:r>
          </w:p>
          <w:p w:rsidR="00172210" w:rsidRDefault="00172210" w:rsidP="0017221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proofErr w:type="spellStart"/>
            <w:r w:rsidRPr="00172210">
              <w:rPr>
                <w:rFonts w:ascii="Times New Roman" w:hAnsi="Times New Roman"/>
                <w:bCs/>
              </w:rPr>
              <w:t>Bartusek</w:t>
            </w:r>
            <w:proofErr w:type="spellEnd"/>
            <w:r w:rsidRPr="00172210">
              <w:rPr>
                <w:rFonts w:ascii="Times New Roman" w:hAnsi="Times New Roman"/>
                <w:bCs/>
              </w:rPr>
              <w:t xml:space="preserve"> M., Wylęgała E.: Wybrane aspekty pielęgniarstwa epidemiologicznego. Od teorii do praktyki. ŚAM Katowice 2006.</w:t>
            </w:r>
          </w:p>
          <w:p w:rsidR="00172210" w:rsidRDefault="00172210" w:rsidP="0017221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r w:rsidRPr="00172210">
              <w:rPr>
                <w:rFonts w:ascii="Times New Roman" w:hAnsi="Times New Roman"/>
                <w:bCs/>
              </w:rPr>
              <w:t>Bień A.M. (red): Opieka nad kobietą ciężarną. PZWL Warszawa 2009.</w:t>
            </w:r>
          </w:p>
          <w:p w:rsidR="00172210" w:rsidRDefault="00172210" w:rsidP="0017221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r w:rsidRPr="00172210">
              <w:rPr>
                <w:rFonts w:ascii="Times New Roman" w:hAnsi="Times New Roman"/>
                <w:bCs/>
              </w:rPr>
              <w:t>Borkowski W.: Opieka pielęgniarska nad noworodkiem. Medycyna Praktyczna Kraków 2007</w:t>
            </w:r>
          </w:p>
          <w:p w:rsidR="00172210" w:rsidRDefault="00172210" w:rsidP="0017221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r w:rsidRPr="00172210">
              <w:rPr>
                <w:rFonts w:ascii="Times New Roman" w:hAnsi="Times New Roman"/>
                <w:bCs/>
              </w:rPr>
              <w:t xml:space="preserve">Czyżewska M.: Neonatologia. Podręcznik dla studentów Wydziału Zdrowia Publicznego. AM Wrocław 2007. </w:t>
            </w:r>
          </w:p>
          <w:p w:rsidR="00172210" w:rsidRDefault="00172210" w:rsidP="0017221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proofErr w:type="spellStart"/>
            <w:r w:rsidRPr="00172210">
              <w:rPr>
                <w:rFonts w:ascii="Times New Roman" w:hAnsi="Times New Roman"/>
                <w:bCs/>
              </w:rPr>
              <w:t>Freesner</w:t>
            </w:r>
            <w:proofErr w:type="spellEnd"/>
            <w:r w:rsidRPr="00172210">
              <w:rPr>
                <w:rFonts w:ascii="Times New Roman" w:hAnsi="Times New Roman"/>
                <w:bCs/>
              </w:rPr>
              <w:t xml:space="preserve"> A. </w:t>
            </w:r>
            <w:proofErr w:type="spellStart"/>
            <w:r w:rsidRPr="00172210">
              <w:rPr>
                <w:rFonts w:ascii="Times New Roman" w:hAnsi="Times New Roman"/>
                <w:bCs/>
              </w:rPr>
              <w:t>Raff</w:t>
            </w:r>
            <w:proofErr w:type="spellEnd"/>
            <w:r w:rsidRPr="00172210">
              <w:rPr>
                <w:rFonts w:ascii="Times New Roman" w:hAnsi="Times New Roman"/>
                <w:bCs/>
              </w:rPr>
              <w:t>. B.: Pielęgniarstwo w położnictwie. PZWL Warszawa 1980.</w:t>
            </w:r>
          </w:p>
          <w:p w:rsidR="00172210" w:rsidRDefault="00172210" w:rsidP="0017221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proofErr w:type="spellStart"/>
            <w:r w:rsidRPr="00172210">
              <w:rPr>
                <w:rFonts w:ascii="Times New Roman" w:hAnsi="Times New Roman"/>
                <w:bCs/>
              </w:rPr>
              <w:t>Kirpalani</w:t>
            </w:r>
            <w:proofErr w:type="spellEnd"/>
            <w:r w:rsidRPr="00172210">
              <w:rPr>
                <w:rFonts w:ascii="Times New Roman" w:hAnsi="Times New Roman"/>
                <w:bCs/>
              </w:rPr>
              <w:t xml:space="preserve"> H.: Podręcznik neonatologii. </w:t>
            </w:r>
            <w:proofErr w:type="spellStart"/>
            <w:r w:rsidRPr="00172210">
              <w:rPr>
                <w:rFonts w:ascii="Times New Roman" w:hAnsi="Times New Roman"/>
                <w:bCs/>
              </w:rPr>
              <w:t>Medipage</w:t>
            </w:r>
            <w:proofErr w:type="spellEnd"/>
            <w:r w:rsidRPr="00172210">
              <w:rPr>
                <w:rFonts w:ascii="Times New Roman" w:hAnsi="Times New Roman"/>
                <w:bCs/>
              </w:rPr>
              <w:t xml:space="preserve"> Warszawa 2009.</w:t>
            </w:r>
          </w:p>
          <w:p w:rsidR="00172210" w:rsidRDefault="00172210" w:rsidP="0017221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proofErr w:type="spellStart"/>
            <w:r w:rsidRPr="00172210">
              <w:rPr>
                <w:rFonts w:ascii="Times New Roman" w:hAnsi="Times New Roman"/>
                <w:bCs/>
              </w:rPr>
              <w:t>Łepecka-Klusek</w:t>
            </w:r>
            <w:proofErr w:type="spellEnd"/>
            <w:r w:rsidRPr="00172210">
              <w:rPr>
                <w:rFonts w:ascii="Times New Roman" w:hAnsi="Times New Roman"/>
                <w:bCs/>
              </w:rPr>
              <w:t xml:space="preserve"> C.: Pielęgniarstwo we współczesnym położnictwie i ginekologii. Wyd. </w:t>
            </w:r>
            <w:proofErr w:type="spellStart"/>
            <w:r w:rsidRPr="00172210">
              <w:rPr>
                <w:rFonts w:ascii="Times New Roman" w:hAnsi="Times New Roman"/>
                <w:bCs/>
              </w:rPr>
              <w:t>Czelej</w:t>
            </w:r>
            <w:proofErr w:type="spellEnd"/>
            <w:r w:rsidRPr="00172210">
              <w:rPr>
                <w:rFonts w:ascii="Times New Roman" w:hAnsi="Times New Roman"/>
                <w:bCs/>
              </w:rPr>
              <w:t xml:space="preserve"> Lublin 2003.</w:t>
            </w:r>
          </w:p>
          <w:p w:rsidR="00172210" w:rsidRDefault="00172210" w:rsidP="0017221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r w:rsidRPr="00172210">
              <w:rPr>
                <w:rFonts w:ascii="Times New Roman" w:hAnsi="Times New Roman"/>
                <w:bCs/>
              </w:rPr>
              <w:t>Łozińska D. Twarowska I.: Neonatologia. PZWL Warszawa 1993</w:t>
            </w:r>
          </w:p>
          <w:p w:rsidR="00172210" w:rsidRDefault="00172210" w:rsidP="0017221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r w:rsidRPr="00172210">
              <w:rPr>
                <w:rFonts w:ascii="Times New Roman" w:hAnsi="Times New Roman"/>
                <w:bCs/>
              </w:rPr>
              <w:t xml:space="preserve">Makara-Studzińska M., </w:t>
            </w:r>
            <w:proofErr w:type="spellStart"/>
            <w:r w:rsidRPr="00172210">
              <w:rPr>
                <w:rFonts w:ascii="Times New Roman" w:hAnsi="Times New Roman"/>
                <w:bCs/>
              </w:rPr>
              <w:t>Iwanowicz</w:t>
            </w:r>
            <w:proofErr w:type="spellEnd"/>
            <w:r w:rsidRPr="00172210">
              <w:rPr>
                <w:rFonts w:ascii="Times New Roman" w:hAnsi="Times New Roman"/>
                <w:bCs/>
              </w:rPr>
              <w:t>-Palus G.: Psychologia w położnictwie i ginekologii. PZWL Warszawa 2009.</w:t>
            </w:r>
          </w:p>
          <w:p w:rsidR="00172210" w:rsidRDefault="00172210" w:rsidP="0017221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r w:rsidRPr="00172210">
              <w:rPr>
                <w:rFonts w:ascii="Times New Roman" w:hAnsi="Times New Roman"/>
                <w:bCs/>
              </w:rPr>
              <w:t>Opala T.: Ginekologia. Podręcznika dla położnych, pielęgniarek i fizjoterapeutów. PZWL Warszawa 2006</w:t>
            </w:r>
          </w:p>
          <w:p w:rsidR="00172210" w:rsidRDefault="00172210" w:rsidP="0017221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r w:rsidRPr="00172210">
              <w:rPr>
                <w:rFonts w:ascii="Times New Roman" w:hAnsi="Times New Roman"/>
                <w:bCs/>
              </w:rPr>
              <w:t>Pilewska – Kozak A.: Opieka nad wcześniakiem. PZWL Warszawa 2009.</w:t>
            </w:r>
          </w:p>
          <w:p w:rsidR="00172210" w:rsidRDefault="00172210" w:rsidP="0017221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r w:rsidRPr="00172210">
              <w:rPr>
                <w:rFonts w:ascii="Times New Roman" w:hAnsi="Times New Roman"/>
                <w:bCs/>
              </w:rPr>
              <w:t>Pisarski T.: Położnictwo i ginekologia. PZWL. Warszawa 2002.</w:t>
            </w:r>
          </w:p>
          <w:p w:rsidR="00172210" w:rsidRDefault="00172210" w:rsidP="0017221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proofErr w:type="spellStart"/>
            <w:r w:rsidRPr="00172210">
              <w:rPr>
                <w:rFonts w:ascii="Times New Roman" w:hAnsi="Times New Roman"/>
                <w:bCs/>
              </w:rPr>
              <w:t>Pschyrembel</w:t>
            </w:r>
            <w:proofErr w:type="spellEnd"/>
            <w:r w:rsidRPr="00172210">
              <w:rPr>
                <w:rFonts w:ascii="Times New Roman" w:hAnsi="Times New Roman"/>
                <w:bCs/>
              </w:rPr>
              <w:t xml:space="preserve"> W., </w:t>
            </w:r>
            <w:proofErr w:type="spellStart"/>
            <w:r w:rsidRPr="00172210">
              <w:rPr>
                <w:rFonts w:ascii="Times New Roman" w:hAnsi="Times New Roman"/>
                <w:bCs/>
              </w:rPr>
              <w:t>Dudenhausen</w:t>
            </w:r>
            <w:proofErr w:type="spellEnd"/>
            <w:r w:rsidRPr="00172210">
              <w:rPr>
                <w:rFonts w:ascii="Times New Roman" w:hAnsi="Times New Roman"/>
                <w:bCs/>
              </w:rPr>
              <w:t xml:space="preserve"> J. Położnictwo praktyczne i operacje położnicze. PZWL Warszawa 2002.</w:t>
            </w:r>
          </w:p>
          <w:p w:rsidR="00172210" w:rsidRPr="00172210" w:rsidRDefault="00172210" w:rsidP="0017221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proofErr w:type="spellStart"/>
            <w:r w:rsidRPr="00172210">
              <w:rPr>
                <w:rFonts w:ascii="Times New Roman" w:hAnsi="Times New Roman"/>
                <w:bCs/>
              </w:rPr>
              <w:t>Steciwko</w:t>
            </w:r>
            <w:proofErr w:type="spellEnd"/>
            <w:r w:rsidRPr="00172210">
              <w:rPr>
                <w:rFonts w:ascii="Times New Roman" w:hAnsi="Times New Roman"/>
                <w:bCs/>
              </w:rPr>
              <w:t xml:space="preserve"> A., Pirogowicz I.: Dziecko i jego środowisko. Noworodek przedwcześnie urodzony – trudności i satysfakcje. </w:t>
            </w:r>
            <w:proofErr w:type="spellStart"/>
            <w:r w:rsidRPr="00172210">
              <w:rPr>
                <w:rFonts w:ascii="Times New Roman" w:hAnsi="Times New Roman"/>
                <w:bCs/>
              </w:rPr>
              <w:t>Continuo</w:t>
            </w:r>
            <w:proofErr w:type="spellEnd"/>
            <w:r w:rsidRPr="00172210">
              <w:rPr>
                <w:rFonts w:ascii="Times New Roman" w:hAnsi="Times New Roman"/>
                <w:bCs/>
              </w:rPr>
              <w:t>, Wrocław 2008.</w:t>
            </w:r>
          </w:p>
          <w:p w:rsidR="00172210" w:rsidRPr="00172210" w:rsidRDefault="00172210" w:rsidP="00172210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40" w:lineRule="auto"/>
              <w:ind w:left="321"/>
              <w:rPr>
                <w:rFonts w:ascii="Times New Roman" w:hAnsi="Times New Roman"/>
                <w:bCs/>
              </w:rPr>
            </w:pPr>
            <w:r w:rsidRPr="00172210">
              <w:rPr>
                <w:rFonts w:ascii="Times New Roman" w:hAnsi="Times New Roman"/>
                <w:bCs/>
              </w:rPr>
              <w:t>Świetliński J., Neonatologia i opieka nad noworodkiem Tom 1, PZWL, Warszawa 2016.</w:t>
            </w:r>
          </w:p>
          <w:p w:rsidR="00172210" w:rsidRPr="00172210" w:rsidRDefault="00172210" w:rsidP="00172210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40" w:lineRule="auto"/>
              <w:ind w:left="321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172210">
              <w:rPr>
                <w:rFonts w:ascii="Times New Roman" w:hAnsi="Times New Roman"/>
                <w:bCs/>
                <w:color w:val="000000"/>
                <w:lang w:eastAsia="pl-PL"/>
              </w:rPr>
              <w:t>Świetliński J., Neonatologia i opieka nad noworodkiem Tom 2, PZWL, Warszawa 2017,.</w:t>
            </w:r>
          </w:p>
          <w:p w:rsidR="00172210" w:rsidRPr="00172210" w:rsidRDefault="00172210" w:rsidP="00172210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40" w:lineRule="auto"/>
              <w:ind w:left="321"/>
              <w:rPr>
                <w:b/>
              </w:rPr>
            </w:pPr>
            <w:r w:rsidRPr="00172210">
              <w:rPr>
                <w:rFonts w:ascii="Times New Roman" w:hAnsi="Times New Roman"/>
                <w:bCs/>
                <w:color w:val="000000"/>
                <w:lang w:eastAsia="pl-PL"/>
              </w:rPr>
              <w:t>Szczapa J.: Podstawy neonatologii. PZWL 2008.</w:t>
            </w:r>
          </w:p>
          <w:p w:rsidR="00172210" w:rsidRPr="00172210" w:rsidRDefault="00172210" w:rsidP="00172210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40" w:lineRule="auto"/>
              <w:ind w:left="321"/>
              <w:rPr>
                <w:b/>
              </w:rPr>
            </w:pPr>
            <w:r w:rsidRPr="00172210">
              <w:rPr>
                <w:bCs/>
              </w:rPr>
              <w:t xml:space="preserve">Wojnarowska B.: Edukacja zdrowotna. PWN Warszawa 2007.                                                                                                                 </w:t>
            </w:r>
            <w:r w:rsidRPr="00172210">
              <w:rPr>
                <w:b/>
              </w:rPr>
              <w:t xml:space="preserve"> </w:t>
            </w:r>
          </w:p>
        </w:tc>
      </w:tr>
      <w:tr w:rsidR="00172210" w:rsidRPr="00172210" w:rsidTr="00F51C01">
        <w:trPr>
          <w:trHeight w:val="240"/>
        </w:trPr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72210" w:rsidRPr="00172210" w:rsidRDefault="00172210" w:rsidP="00172210">
            <w:pPr>
              <w:spacing w:after="0" w:line="259" w:lineRule="auto"/>
              <w:ind w:left="97" w:right="0"/>
              <w:jc w:val="left"/>
              <w:rPr>
                <w:b/>
                <w:sz w:val="22"/>
              </w:rPr>
            </w:pPr>
            <w:r w:rsidRPr="00172210">
              <w:rPr>
                <w:b/>
                <w:sz w:val="22"/>
              </w:rPr>
              <w:t xml:space="preserve">23. Kryteria oceny – szczegóły </w:t>
            </w:r>
          </w:p>
        </w:tc>
      </w:tr>
      <w:tr w:rsidR="00172210" w:rsidRPr="00172210" w:rsidTr="00CF230D">
        <w:trPr>
          <w:trHeight w:val="480"/>
        </w:trPr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72210" w:rsidRPr="00172210" w:rsidRDefault="00172210" w:rsidP="00330CA7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 xml:space="preserve">Zgodnie z zaleceniami organów kontrolujących. </w:t>
            </w:r>
          </w:p>
          <w:p w:rsidR="00172210" w:rsidRDefault="00172210" w:rsidP="00172210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 xml:space="preserve">Zaliczenie przedmiotu - student osiągnął zakładane efekty uczenia się. </w:t>
            </w:r>
          </w:p>
          <w:p w:rsidR="00172210" w:rsidRPr="00172210" w:rsidRDefault="00172210" w:rsidP="00172210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172210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5C14C9" w:rsidRPr="00400F03" w:rsidRDefault="005C14C9">
      <w:pPr>
        <w:spacing w:after="0" w:line="259" w:lineRule="auto"/>
        <w:ind w:left="341" w:right="0" w:firstLine="0"/>
        <w:jc w:val="left"/>
        <w:rPr>
          <w:sz w:val="22"/>
        </w:rPr>
      </w:pPr>
    </w:p>
    <w:p w:rsidR="0040493F" w:rsidRPr="00400F03" w:rsidRDefault="0040493F">
      <w:pPr>
        <w:spacing w:after="0" w:line="259" w:lineRule="auto"/>
        <w:ind w:left="341" w:right="0" w:firstLine="0"/>
        <w:jc w:val="left"/>
        <w:rPr>
          <w:sz w:val="22"/>
        </w:rPr>
      </w:pPr>
    </w:p>
    <w:p w:rsidR="0040493F" w:rsidRPr="00400F03" w:rsidRDefault="0040493F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40493F" w:rsidRPr="00400F03">
      <w:footerReference w:type="even" r:id="rId8"/>
      <w:footerReference w:type="default" r:id="rId9"/>
      <w:footerReference w:type="first" r:id="rId10"/>
      <w:pgSz w:w="11906" w:h="16838"/>
      <w:pgMar w:top="238" w:right="471" w:bottom="766" w:left="1077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E04" w:rsidRDefault="00400F03">
      <w:pPr>
        <w:spacing w:after="0" w:line="240" w:lineRule="auto"/>
      </w:pPr>
      <w:r>
        <w:separator/>
      </w:r>
    </w:p>
  </w:endnote>
  <w:endnote w:type="continuationSeparator" w:id="0">
    <w:p w:rsidR="00011E04" w:rsidRDefault="0040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93F" w:rsidRDefault="00400F0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40493F" w:rsidRDefault="00400F03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93F" w:rsidRDefault="00400F0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40493F" w:rsidRDefault="00400F03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93F" w:rsidRDefault="00400F0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40493F" w:rsidRDefault="00400F03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E04" w:rsidRDefault="00400F03">
      <w:pPr>
        <w:spacing w:after="0" w:line="240" w:lineRule="auto"/>
      </w:pPr>
      <w:r>
        <w:separator/>
      </w:r>
    </w:p>
  </w:footnote>
  <w:footnote w:type="continuationSeparator" w:id="0">
    <w:p w:rsidR="00011E04" w:rsidRDefault="00400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7CAC"/>
    <w:multiLevelType w:val="multilevel"/>
    <w:tmpl w:val="3216BEFE"/>
    <w:lvl w:ilvl="0">
      <w:start w:val="2"/>
      <w:numFmt w:val="decimal"/>
      <w:lvlText w:val="%1."/>
      <w:lvlJc w:val="left"/>
      <w:pPr>
        <w:tabs>
          <w:tab w:val="num" w:pos="0"/>
        </w:tabs>
        <w:ind w:left="2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1FEE37BB"/>
    <w:multiLevelType w:val="hybridMultilevel"/>
    <w:tmpl w:val="FBB4D3DC"/>
    <w:lvl w:ilvl="0" w:tplc="751AF650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2" w15:restartNumberingAfterBreak="0">
    <w:nsid w:val="21FB56E7"/>
    <w:multiLevelType w:val="hybridMultilevel"/>
    <w:tmpl w:val="B316EADE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" w15:restartNumberingAfterBreak="0">
    <w:nsid w:val="293E5926"/>
    <w:multiLevelType w:val="hybridMultilevel"/>
    <w:tmpl w:val="8BC43EC2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4" w15:restartNumberingAfterBreak="0">
    <w:nsid w:val="440412BB"/>
    <w:multiLevelType w:val="hybridMultilevel"/>
    <w:tmpl w:val="F676A99C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5" w15:restartNumberingAfterBreak="0">
    <w:nsid w:val="45120C05"/>
    <w:multiLevelType w:val="hybridMultilevel"/>
    <w:tmpl w:val="B2FA987C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6" w15:restartNumberingAfterBreak="0">
    <w:nsid w:val="47124C1B"/>
    <w:multiLevelType w:val="hybridMultilevel"/>
    <w:tmpl w:val="B9A80C9A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7" w15:restartNumberingAfterBreak="0">
    <w:nsid w:val="58224F31"/>
    <w:multiLevelType w:val="multilevel"/>
    <w:tmpl w:val="8930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FCA05D8"/>
    <w:multiLevelType w:val="hybridMultilevel"/>
    <w:tmpl w:val="48FED068"/>
    <w:lvl w:ilvl="0" w:tplc="8D14DF26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8729F1"/>
    <w:multiLevelType w:val="hybridMultilevel"/>
    <w:tmpl w:val="6884F52C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0" w15:restartNumberingAfterBreak="0">
    <w:nsid w:val="76C22F4E"/>
    <w:multiLevelType w:val="hybridMultilevel"/>
    <w:tmpl w:val="17A8D55C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1" w15:restartNumberingAfterBreak="0">
    <w:nsid w:val="7D3B11FD"/>
    <w:multiLevelType w:val="hybridMultilevel"/>
    <w:tmpl w:val="666EE60A"/>
    <w:lvl w:ilvl="0" w:tplc="8ED4F9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10"/>
  </w:num>
  <w:num w:numId="10">
    <w:abstractNumId w:val="11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93F"/>
    <w:rsid w:val="00011E04"/>
    <w:rsid w:val="00172210"/>
    <w:rsid w:val="00203BF1"/>
    <w:rsid w:val="00400F03"/>
    <w:rsid w:val="0040493F"/>
    <w:rsid w:val="005C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6F902"/>
  <w15:docId w15:val="{1036F68C-E052-4673-A7A9-4B8E28E8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6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5415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54152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54152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557D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5415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54152"/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530E8-40FB-411E-9668-D5B110903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1743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dc:description/>
  <cp:lastModifiedBy>Katarzyna Opiela</cp:lastModifiedBy>
  <cp:revision>7</cp:revision>
  <cp:lastPrinted>2023-01-30T10:40:00Z</cp:lastPrinted>
  <dcterms:created xsi:type="dcterms:W3CDTF">2024-02-28T11:26:00Z</dcterms:created>
  <dcterms:modified xsi:type="dcterms:W3CDTF">2024-09-26T06:39:00Z</dcterms:modified>
  <dc:language>pl-PL</dc:language>
</cp:coreProperties>
</file>