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5645A" w14:textId="446DD539" w:rsidR="009A598B" w:rsidRPr="009A598B" w:rsidRDefault="009A598B" w:rsidP="009A598B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9A598B">
        <w:rPr>
          <w:rFonts w:ascii="Times New Roman" w:hAnsi="Times New Roman"/>
          <w:b/>
          <w:i/>
        </w:rPr>
        <w:t>Załącznik nr 1a</w:t>
      </w:r>
    </w:p>
    <w:p w14:paraId="07EC7B18" w14:textId="329CF23A" w:rsidR="009A598B" w:rsidRDefault="003E029F" w:rsidP="009A598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A598B">
        <w:rPr>
          <w:rFonts w:ascii="Times New Roman" w:hAnsi="Times New Roman"/>
          <w:b/>
        </w:rPr>
        <w:t>Karta przedmiotu</w:t>
      </w:r>
    </w:p>
    <w:p w14:paraId="6F0E09E8" w14:textId="163B07EF" w:rsidR="003E029F" w:rsidRPr="009A598B" w:rsidRDefault="003E029F" w:rsidP="009A598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A598B">
        <w:rPr>
          <w:rFonts w:ascii="Times New Roman" w:hAnsi="Times New Roman"/>
          <w:b/>
        </w:rPr>
        <w:t>Cz. 1</w:t>
      </w:r>
    </w:p>
    <w:tbl>
      <w:tblPr>
        <w:tblW w:w="97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278"/>
        <w:gridCol w:w="1139"/>
        <w:gridCol w:w="110"/>
        <w:gridCol w:w="2579"/>
        <w:gridCol w:w="1139"/>
        <w:gridCol w:w="1792"/>
      </w:tblGrid>
      <w:tr w:rsidR="003E029F" w:rsidRPr="009A598B" w14:paraId="579AB309" w14:textId="77777777" w:rsidTr="00D10BDA">
        <w:tc>
          <w:tcPr>
            <w:tcW w:w="97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9F054B" w14:textId="77777777" w:rsidR="003E029F" w:rsidRPr="009A598B" w:rsidRDefault="003E0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3E029F" w:rsidRPr="009A598B" w14:paraId="42190169" w14:textId="77777777" w:rsidTr="00D10BDA"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D3413A" w14:textId="77777777" w:rsidR="003E029F" w:rsidRPr="009A598B" w:rsidRDefault="003E029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>1. Kierunek studiów:</w:t>
            </w:r>
            <w:r w:rsidRPr="009A598B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2990" w14:textId="2394A012" w:rsidR="003E029F" w:rsidRPr="009A598B" w:rsidRDefault="003E029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>2. Poziom kształcenia:</w:t>
            </w:r>
            <w:r w:rsidRPr="009A598B">
              <w:rPr>
                <w:rFonts w:ascii="Times New Roman" w:hAnsi="Times New Roman"/>
              </w:rPr>
              <w:t xml:space="preserve"> I stopień</w:t>
            </w:r>
            <w:r w:rsidR="00E176AF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/</w:t>
            </w:r>
            <w:r w:rsidR="00E176AF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profil praktyczny</w:t>
            </w:r>
          </w:p>
          <w:p w14:paraId="44992479" w14:textId="77777777" w:rsidR="003E029F" w:rsidRPr="009A598B" w:rsidRDefault="003E029F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3. Forma studiów:</w:t>
            </w:r>
            <w:r w:rsidRPr="009A598B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3E029F" w:rsidRPr="009A598B" w14:paraId="50E9C3A7" w14:textId="77777777" w:rsidTr="00D10BDA"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7EF9C" w14:textId="4566D8EC" w:rsidR="003E029F" w:rsidRPr="009A598B" w:rsidRDefault="003E029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>4. Rok:</w:t>
            </w:r>
            <w:r w:rsidRPr="009A598B">
              <w:rPr>
                <w:rFonts w:ascii="Times New Roman" w:hAnsi="Times New Roman"/>
              </w:rPr>
              <w:t xml:space="preserve"> III</w:t>
            </w:r>
            <w:r w:rsidR="00E176AF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/</w:t>
            </w:r>
            <w:r w:rsidR="00E176AF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cykl 2024-2027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0250A" w14:textId="77777777" w:rsidR="003E029F" w:rsidRPr="009A598B" w:rsidRDefault="003E029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3E029F" w:rsidRPr="009A598B" w14:paraId="321F36D4" w14:textId="77777777" w:rsidTr="00D10BDA">
        <w:tc>
          <w:tcPr>
            <w:tcW w:w="97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3C166" w14:textId="77777777" w:rsidR="003E029F" w:rsidRPr="009A598B" w:rsidRDefault="003E029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6. Nazwa przedmiotu:</w:t>
            </w:r>
            <w:r w:rsidRPr="009A598B">
              <w:rPr>
                <w:rFonts w:ascii="Times New Roman" w:hAnsi="Times New Roman"/>
              </w:rPr>
              <w:t xml:space="preserve"> Organizacja pracy położnej</w:t>
            </w:r>
          </w:p>
        </w:tc>
      </w:tr>
      <w:tr w:rsidR="003E029F" w:rsidRPr="009A598B" w14:paraId="481CBBE7" w14:textId="77777777" w:rsidTr="00D10BDA">
        <w:tc>
          <w:tcPr>
            <w:tcW w:w="97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73582" w14:textId="77777777" w:rsidR="003E029F" w:rsidRPr="009A598B" w:rsidRDefault="003E029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7. Status przedmiotu:</w:t>
            </w:r>
            <w:r w:rsidRPr="009A598B">
              <w:rPr>
                <w:rFonts w:ascii="Times New Roman" w:hAnsi="Times New Roman"/>
              </w:rPr>
              <w:t xml:space="preserve"> obowiązkowy</w:t>
            </w:r>
          </w:p>
        </w:tc>
      </w:tr>
      <w:tr w:rsidR="003E029F" w:rsidRPr="009A598B" w14:paraId="63A6D001" w14:textId="77777777" w:rsidTr="00D10BDA">
        <w:trPr>
          <w:trHeight w:val="181"/>
        </w:trPr>
        <w:tc>
          <w:tcPr>
            <w:tcW w:w="970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617A8B" w14:textId="0C2BC413" w:rsidR="003E029F" w:rsidRPr="009A598B" w:rsidRDefault="003E029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8. </w:t>
            </w:r>
            <w:r w:rsidR="009A598B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3E029F" w:rsidRPr="009A598B" w14:paraId="70368B27" w14:textId="77777777" w:rsidTr="00D10BDA">
        <w:trPr>
          <w:trHeight w:val="725"/>
        </w:trPr>
        <w:tc>
          <w:tcPr>
            <w:tcW w:w="970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482EB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Znajomość pojęcia stanowiska pracy, zakresu obowiązków, uprawnień i odpowiedzialności zawodowej.</w:t>
            </w:r>
          </w:p>
          <w:p w14:paraId="404F5A7F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Zdobycie wiedzy w zakresie przepisów prawa dotyczących czasu pracy, pracy zmianowej, rozkładu czasu pracy i obciążenia na stanowiskach pielęgniarskich i położniczych.</w:t>
            </w:r>
          </w:p>
          <w:p w14:paraId="3F4F8DFB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Znajomość podstawowych metod organizacji opieki położniczej i ich znaczenia dla jakości tej opieki.</w:t>
            </w:r>
          </w:p>
          <w:p w14:paraId="6A06B9D6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Znajomość etapów planowania pracy własnej i podległego personelu oraz możliwości planowania kariery zawodowej i uwarunkowania własnego rozwoju zawodowego.</w:t>
            </w:r>
          </w:p>
          <w:p w14:paraId="658B5F42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AAFC31E" w14:textId="77777777" w:rsidR="009A598B" w:rsidRPr="009A598B" w:rsidRDefault="009A598B" w:rsidP="009A598B">
            <w:pPr>
              <w:spacing w:after="13" w:line="256" w:lineRule="auto"/>
              <w:ind w:left="28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9A598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A598B">
              <w:rPr>
                <w:rFonts w:ascii="Times New Roman" w:hAnsi="Times New Roman"/>
              </w:rPr>
              <w:t xml:space="preserve">zawartych w </w:t>
            </w:r>
            <w:r w:rsidRPr="009A598B">
              <w:rPr>
                <w:rFonts w:ascii="Times New Roman" w:hAnsi="Times New Roman"/>
                <w:i/>
              </w:rPr>
              <w:t>(właściwe podkreślić)</w:t>
            </w:r>
            <w:r w:rsidRPr="009A598B">
              <w:rPr>
                <w:rFonts w:ascii="Times New Roman" w:hAnsi="Times New Roman"/>
              </w:rPr>
              <w:t xml:space="preserve">: </w:t>
            </w:r>
          </w:p>
          <w:p w14:paraId="33DD24CD" w14:textId="77777777" w:rsidR="009A598B" w:rsidRPr="009A598B" w:rsidRDefault="009A598B" w:rsidP="00E176AF">
            <w:pPr>
              <w:spacing w:after="15" w:line="261" w:lineRule="auto"/>
              <w:ind w:left="28" w:right="-43"/>
              <w:jc w:val="both"/>
              <w:rPr>
                <w:rFonts w:ascii="Times New Roman" w:hAnsi="Times New Roman"/>
                <w:i/>
              </w:rPr>
            </w:pPr>
            <w:r w:rsidRPr="00E176AF">
              <w:rPr>
                <w:rFonts w:ascii="Times New Roman" w:hAnsi="Times New Roman"/>
              </w:rPr>
              <w:t>standardach kształcenia</w:t>
            </w:r>
            <w:r w:rsidRPr="009A598B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9A598B">
              <w:rPr>
                <w:rFonts w:ascii="Times New Roman" w:hAnsi="Times New Roman"/>
              </w:rPr>
              <w:t xml:space="preserve">)/Uchwale Senatu SUM </w:t>
            </w:r>
            <w:r w:rsidRPr="009A598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5D79C328" w14:textId="77777777" w:rsid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 xml:space="preserve">w zakresie wiedzy student zna i rozumie: </w:t>
            </w:r>
          </w:p>
          <w:p w14:paraId="58AAA2EF" w14:textId="4B783443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C.W23 Zna pojęcie stanowiska pracy, zakres obowiązków, uprawnień i odpowiedzialności</w:t>
            </w:r>
          </w:p>
          <w:p w14:paraId="25398F4E" w14:textId="4E733F15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C.W24 Zna przepisy prawa dotyczące czasu pracy, pracy zmianowej, rozkładu czasu pracy obciążenia na stanowiskach pielęgniarskich i położniczych</w:t>
            </w:r>
          </w:p>
          <w:p w14:paraId="2C3B6D11" w14:textId="5E250D11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 xml:space="preserve">C.W25 Zna podstawowe metody organizacji opieki położniczej i ich znaczenie dla jakości tej </w:t>
            </w:r>
            <w:r w:rsidR="00D10BDA" w:rsidRPr="009A598B">
              <w:rPr>
                <w:rFonts w:ascii="Times New Roman" w:hAnsi="Times New Roman"/>
              </w:rPr>
              <w:t>o</w:t>
            </w:r>
            <w:r w:rsidRPr="009A598B">
              <w:rPr>
                <w:rFonts w:ascii="Times New Roman" w:hAnsi="Times New Roman"/>
              </w:rPr>
              <w:t>pieki</w:t>
            </w:r>
          </w:p>
          <w:p w14:paraId="7ED3F4D2" w14:textId="6B029BEF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C.W26 Zna etapy planowania pracy własnej i podległego personelu</w:t>
            </w:r>
          </w:p>
          <w:p w14:paraId="24641FB7" w14:textId="1A23D081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C.W27 Zna możliwości planowania kariery zawodowej i uwarunkowania własnego rozwoju zawodowego</w:t>
            </w:r>
          </w:p>
          <w:p w14:paraId="30217A09" w14:textId="7701C65D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C.W28</w:t>
            </w:r>
            <w:r w:rsidR="009A598B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Zna problematykę jakości w opiece zdrowotnej</w:t>
            </w:r>
          </w:p>
          <w:p w14:paraId="109C8691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w zakresie umiejętności student potrafi:</w:t>
            </w:r>
          </w:p>
          <w:p w14:paraId="2509C95F" w14:textId="2340C70D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C.U35 Potrafi monitorować zagrożenia w pracy położnej i czynniki sprzyjające występowaniu chorób zawodowych oraz wypadków przy pracy</w:t>
            </w:r>
          </w:p>
          <w:p w14:paraId="39BCF1BF" w14:textId="45982D3B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C.U36 Potrafi planować własny rozwój zawodowy i rozwijać umiejętności aktywnego poszukiwania pracy</w:t>
            </w:r>
          </w:p>
          <w:p w14:paraId="2092F2D2" w14:textId="3C827F20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C.U37 Umie współuczestniczyć w opracowaniu standardów i procedur praktyki położniczej oraz monitorować jakość opieki położniczej</w:t>
            </w:r>
          </w:p>
          <w:p w14:paraId="407A323D" w14:textId="2A948B06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C.U38 Potrafi podejmować decyzje dotyczące doboru metod pracy oraz współpracy w zespole</w:t>
            </w:r>
          </w:p>
          <w:p w14:paraId="2AE620BC" w14:textId="46738402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C.U39</w:t>
            </w:r>
            <w:r w:rsidR="009A598B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Potrafi nadzorować i oceniać pracę podległego personelu</w:t>
            </w:r>
          </w:p>
          <w:p w14:paraId="7F63D57A" w14:textId="7777777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w zakresie kompetencji społecznych student jest gotów do:</w:t>
            </w:r>
          </w:p>
          <w:p w14:paraId="34019FEF" w14:textId="0720F852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 xml:space="preserve">K1 kierowania się dobrem pacjenta, szanuje godność i autonomię osób powierzonych opiece, okazuje zrozumienie dla różnic światopoglądowych i kulturowych oraz jest empatyczny w relacji z pacjentem i jego rodziną </w:t>
            </w:r>
          </w:p>
          <w:p w14:paraId="5B1282F3" w14:textId="37E10E57" w:rsidR="003E029F" w:rsidRPr="009A598B" w:rsidRDefault="003E029F" w:rsidP="009A5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K2</w:t>
            </w:r>
            <w:r w:rsidR="009A598B">
              <w:rPr>
                <w:rFonts w:ascii="Times New Roman" w:hAnsi="Times New Roman"/>
              </w:rPr>
              <w:t xml:space="preserve"> </w:t>
            </w:r>
            <w:r w:rsidRPr="009A598B">
              <w:rPr>
                <w:rFonts w:ascii="Times New Roman" w:hAnsi="Times New Roman"/>
              </w:rPr>
              <w:t>przestrzegania praw pacjenta</w:t>
            </w:r>
          </w:p>
        </w:tc>
      </w:tr>
      <w:tr w:rsidR="00D10BDA" w:rsidRPr="009A598B" w14:paraId="325DA58B" w14:textId="77777777" w:rsidTr="00D10BDA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D9849" w14:textId="77777777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110BE" w14:textId="75DAC409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54011" w14:textId="6C9B67C1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B167" w14:textId="066A5CBA" w:rsidR="00D10BDA" w:rsidRPr="009A598B" w:rsidRDefault="00D10BDA" w:rsidP="00D10BD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1</w:t>
            </w:r>
          </w:p>
        </w:tc>
      </w:tr>
      <w:tr w:rsidR="00D10BDA" w:rsidRPr="009A598B" w14:paraId="009AA442" w14:textId="77777777" w:rsidTr="003B003B">
        <w:tc>
          <w:tcPr>
            <w:tcW w:w="97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8A264" w14:textId="47365EA6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  <w:b/>
              </w:rPr>
              <w:t xml:space="preserve">11. Forma zaliczenia przedmiotu:  </w:t>
            </w:r>
            <w:r w:rsidR="001B71F3" w:rsidRPr="009A598B">
              <w:rPr>
                <w:rFonts w:ascii="Times New Roman" w:hAnsi="Times New Roman"/>
              </w:rPr>
              <w:t>zaliczenie na ocenę</w:t>
            </w:r>
          </w:p>
        </w:tc>
      </w:tr>
      <w:tr w:rsidR="00D10BDA" w:rsidRPr="009A598B" w14:paraId="4CB1D905" w14:textId="77777777" w:rsidTr="00D10BDA">
        <w:tc>
          <w:tcPr>
            <w:tcW w:w="97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9C27DB" w14:textId="78399243" w:rsidR="00D10BDA" w:rsidRPr="009A598B" w:rsidRDefault="00D10BDA" w:rsidP="00D10BD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D10BDA" w:rsidRPr="009A598B" w14:paraId="3B20C2E9" w14:textId="77777777" w:rsidTr="00D10BDA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F7FAA" w14:textId="77777777" w:rsidR="00D10BDA" w:rsidRPr="009A598B" w:rsidRDefault="00D10BDA" w:rsidP="00D10B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17758" w14:textId="77777777" w:rsidR="00D10BDA" w:rsidRPr="009A598B" w:rsidRDefault="00D10BDA" w:rsidP="00D10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5BF7" w14:textId="77777777" w:rsidR="00D10BDA" w:rsidRPr="009A598B" w:rsidRDefault="00D10BDA" w:rsidP="00D10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Sposoby oceny*</w:t>
            </w:r>
          </w:p>
        </w:tc>
      </w:tr>
      <w:tr w:rsidR="00D10BDA" w:rsidRPr="009A598B" w14:paraId="4B534EAD" w14:textId="77777777" w:rsidTr="00D10BDA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2369D" w14:textId="77777777" w:rsidR="00D10BDA" w:rsidRPr="009A598B" w:rsidRDefault="00D10BDA" w:rsidP="00D10B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1A4C" w14:textId="77777777" w:rsidR="00D10BDA" w:rsidRPr="009A598B" w:rsidRDefault="00D10BDA" w:rsidP="00D10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BB9C9" w14:textId="77777777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*</w:t>
            </w:r>
          </w:p>
        </w:tc>
      </w:tr>
      <w:tr w:rsidR="00D10BDA" w:rsidRPr="009A598B" w14:paraId="3760BEEE" w14:textId="77777777" w:rsidTr="00D10BDA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E29F3" w14:textId="77777777" w:rsidR="00D10BDA" w:rsidRPr="009A598B" w:rsidRDefault="00D10BDA" w:rsidP="00D10BD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C26B9" w14:textId="77777777" w:rsidR="00D10BDA" w:rsidRPr="009A598B" w:rsidRDefault="00D10BDA" w:rsidP="00D10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</w:rPr>
              <w:t>Obserwacja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639B6" w14:textId="77777777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*</w:t>
            </w:r>
          </w:p>
        </w:tc>
      </w:tr>
      <w:tr w:rsidR="00D10BDA" w:rsidRPr="009A598B" w14:paraId="4079673C" w14:textId="77777777" w:rsidTr="00D10BDA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972B3" w14:textId="77777777" w:rsidR="00D10BDA" w:rsidRPr="009A598B" w:rsidRDefault="00D10BDA" w:rsidP="00D10BD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20662" w14:textId="77777777" w:rsidR="00D10BDA" w:rsidRPr="009A598B" w:rsidRDefault="00D10BDA" w:rsidP="00D10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598B">
              <w:rPr>
                <w:rFonts w:ascii="Times New Roman" w:hAnsi="Times New Roman"/>
              </w:rPr>
              <w:t>Obserwacja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BB0C6" w14:textId="77777777" w:rsidR="00D10BDA" w:rsidRPr="009A598B" w:rsidRDefault="00D10BDA" w:rsidP="00D10BDA">
            <w:pPr>
              <w:spacing w:after="0" w:line="240" w:lineRule="auto"/>
              <w:rPr>
                <w:rFonts w:ascii="Times New Roman" w:hAnsi="Times New Roman"/>
              </w:rPr>
            </w:pPr>
            <w:r w:rsidRPr="009A598B">
              <w:rPr>
                <w:rFonts w:ascii="Times New Roman" w:hAnsi="Times New Roman"/>
                <w:b/>
              </w:rPr>
              <w:t>*</w:t>
            </w:r>
          </w:p>
        </w:tc>
      </w:tr>
    </w:tbl>
    <w:p w14:paraId="71CD8156" w14:textId="5E86F8FA" w:rsidR="00E176AF" w:rsidRDefault="00E176AF">
      <w:pPr>
        <w:rPr>
          <w:rFonts w:ascii="Times New Roman" w:hAnsi="Times New Roman"/>
          <w:b/>
        </w:rPr>
      </w:pPr>
    </w:p>
    <w:p w14:paraId="7B0A8893" w14:textId="77777777" w:rsidR="00E176AF" w:rsidRDefault="00E176AF">
      <w:pPr>
        <w:rPr>
          <w:rFonts w:ascii="Times New Roman" w:hAnsi="Times New Roman"/>
          <w:b/>
        </w:rPr>
      </w:pPr>
    </w:p>
    <w:p w14:paraId="06D6E346" w14:textId="5E2675F9" w:rsid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lastRenderedPageBreak/>
        <w:t xml:space="preserve">* </w:t>
      </w:r>
      <w:r w:rsidRPr="00E176AF">
        <w:rPr>
          <w:rFonts w:ascii="Times New Roman" w:eastAsiaTheme="minorHAnsi" w:hAnsi="Times New Roman"/>
          <w:lang w:eastAsia="en-US"/>
        </w:rPr>
        <w:t>w przypadku egzaminu/zaliczenia na ocenę zakłada się, że ocena oznacza na poziomie:</w:t>
      </w:r>
    </w:p>
    <w:p w14:paraId="0488B3FE" w14:textId="77777777" w:rsidR="00E176AF" w:rsidRP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</w:p>
    <w:p w14:paraId="46DCEC01" w14:textId="77777777" w:rsidR="00E176AF" w:rsidRP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t xml:space="preserve">Bardzo dobry (5,0) </w:t>
      </w:r>
      <w:r w:rsidRPr="00E176AF">
        <w:rPr>
          <w:rFonts w:ascii="Times New Roman" w:eastAsiaTheme="minorHAnsi" w:hAnsi="Times New Roman"/>
          <w:lang w:eastAsia="en-US"/>
        </w:rPr>
        <w:t xml:space="preserve">- zakładane efekty uczenia się zostały osiągnięte i znacznym stopniu przekraczają wymagany poziom </w:t>
      </w:r>
    </w:p>
    <w:p w14:paraId="2456AC52" w14:textId="77777777" w:rsidR="00E176AF" w:rsidRP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t xml:space="preserve">Ponad dobry (4,5) </w:t>
      </w:r>
      <w:r w:rsidRPr="00E176AF">
        <w:rPr>
          <w:rFonts w:ascii="Times New Roman" w:eastAsiaTheme="minorHAnsi" w:hAnsi="Times New Roman"/>
          <w:lang w:eastAsia="en-US"/>
        </w:rPr>
        <w:t xml:space="preserve">- zakładane efekty uczenia się zostały osiągnięte i w niewielkim stopniu przekraczają wymagany poziom </w:t>
      </w:r>
    </w:p>
    <w:p w14:paraId="2C1D83FB" w14:textId="77777777" w:rsidR="00E176AF" w:rsidRP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t xml:space="preserve">Dobry (4,0) </w:t>
      </w:r>
      <w:r w:rsidRPr="00E176AF">
        <w:rPr>
          <w:rFonts w:ascii="Times New Roman" w:eastAsiaTheme="minorHAnsi" w:hAnsi="Times New Roman"/>
          <w:lang w:eastAsia="en-US"/>
        </w:rPr>
        <w:t xml:space="preserve">– zakładane efekty uczenia się zostały osiągnięte na wymaganym poziomie </w:t>
      </w:r>
    </w:p>
    <w:p w14:paraId="035D04E3" w14:textId="77777777" w:rsidR="00E176AF" w:rsidRP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t xml:space="preserve">Dość dobry (3,5) </w:t>
      </w:r>
      <w:r w:rsidRPr="00E176AF">
        <w:rPr>
          <w:rFonts w:ascii="Times New Roman" w:eastAsiaTheme="minorHAnsi" w:hAnsi="Times New Roman"/>
          <w:lang w:eastAsia="en-US"/>
        </w:rPr>
        <w:t xml:space="preserve">– zakładane efekty uczenia się zostały osiągnięte na średnim wymaganym poziomie </w:t>
      </w:r>
    </w:p>
    <w:p w14:paraId="22911DA2" w14:textId="77777777" w:rsidR="00E176AF" w:rsidRPr="00E176AF" w:rsidRDefault="00E176AF" w:rsidP="00E176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t xml:space="preserve">Dostateczny (3,0) </w:t>
      </w:r>
      <w:r w:rsidRPr="00E176AF">
        <w:rPr>
          <w:rFonts w:ascii="Times New Roman" w:eastAsiaTheme="minorHAnsi" w:hAnsi="Times New Roman"/>
          <w:lang w:eastAsia="en-US"/>
        </w:rPr>
        <w:t xml:space="preserve">- zakładane efekty uczenia się zostały osiągnięte na minimalnym wymaganym poziomie </w:t>
      </w:r>
    </w:p>
    <w:p w14:paraId="342A86ED" w14:textId="77777777" w:rsidR="00E176AF" w:rsidRPr="00E176AF" w:rsidRDefault="00E176AF" w:rsidP="00E176AF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  <w:lang w:eastAsia="en-US"/>
        </w:rPr>
        <w:t xml:space="preserve">Niedostateczny (2,0) </w:t>
      </w:r>
      <w:r w:rsidRPr="00E176AF">
        <w:rPr>
          <w:rFonts w:ascii="Times New Roman" w:eastAsiaTheme="minorHAnsi" w:hAnsi="Times New Roman"/>
          <w:lang w:eastAsia="en-US"/>
        </w:rPr>
        <w:t>– zakładane efekty uczenia się nie zostały uzyskane.</w:t>
      </w:r>
    </w:p>
    <w:p w14:paraId="4BE5C869" w14:textId="25AC13D6" w:rsidR="003E029F" w:rsidRDefault="003E029F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5581C17F" w14:textId="6DE90D49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20AF95CB" w14:textId="0B12525C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58EE3D15" w14:textId="46AA282B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8D3D5C9" w14:textId="41BD4388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14D48523" w14:textId="38044331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1692807A" w14:textId="0D577B5A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7023D38E" w14:textId="2977E0B4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76F42571" w14:textId="0F4D47E8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22CC3978" w14:textId="0FC56E30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2420E6C1" w14:textId="1D414040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B4A8B53" w14:textId="25CFD236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30C01A30" w14:textId="54B98298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BD3F548" w14:textId="3D75B2DC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75B6462" w14:textId="3826E1DD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46B3A218" w14:textId="745E3F25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5EA952C5" w14:textId="20D931CD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47583DF8" w14:textId="1F4E2B49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14DF6158" w14:textId="58A62DEE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7A3CEFCE" w14:textId="0EC8A4B4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42635266" w14:textId="775CF80E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44A52B98" w14:textId="0F863F76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2C3D5228" w14:textId="47859C87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BD2B245" w14:textId="0D0DE8FF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9B02FB6" w14:textId="27235859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12011225" w14:textId="4E21D7AD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35BF792" w14:textId="7A3548D8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9387822" w14:textId="36659F52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739DE700" w14:textId="0BB3DF84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E928FD1" w14:textId="27A3F5A2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5812FDE0" w14:textId="6BA252CA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4D4EF61C" w14:textId="69446B35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0D1C4B2" w14:textId="0A739E7C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1093A8E8" w14:textId="0BC3918E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68B3B86E" w14:textId="51B7533A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100B296" w14:textId="12CFE828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4D09FAD5" w14:textId="12E89A7B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07B1B6E" w14:textId="0DD80E06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349EC576" w14:textId="4A0A1792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00371A1E" w14:textId="5CF19310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3AA3C66C" w14:textId="37FFFDE5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72BBF9CE" w14:textId="306B35D8" w:rsidR="00FF1027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p w14:paraId="5DD0E728" w14:textId="49D32CAE" w:rsidR="00FF1027" w:rsidRDefault="00FF1027" w:rsidP="00FF1027">
      <w:pPr>
        <w:pageBreakBefore/>
        <w:spacing w:before="120" w:after="120" w:line="240" w:lineRule="auto"/>
        <w:jc w:val="center"/>
      </w:pPr>
      <w:r>
        <w:rPr>
          <w:b/>
          <w:sz w:val="28"/>
        </w:rPr>
        <w:lastRenderedPageBreak/>
        <w:t xml:space="preserve">Karta przedmiotu </w:t>
      </w:r>
      <w:r>
        <w:rPr>
          <w:b/>
          <w:sz w:val="28"/>
        </w:rPr>
        <w:br/>
      </w:r>
      <w:r>
        <w:rPr>
          <w:b/>
          <w:sz w:val="28"/>
        </w:rPr>
        <w:t>Cz. 2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1838"/>
        <w:gridCol w:w="4995"/>
        <w:gridCol w:w="1984"/>
      </w:tblGrid>
      <w:tr w:rsidR="00FF1027" w:rsidRPr="00FF1027" w14:paraId="66FFF037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1DDEF9" w14:textId="2B692962" w:rsidR="00FF1027" w:rsidRPr="00FF1027" w:rsidRDefault="00FF1027" w:rsidP="00ED7F69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FF1027" w:rsidRPr="00FF1027" w14:paraId="76B0490D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1C01A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FF1027">
              <w:rPr>
                <w:rFonts w:ascii="Times New Roman" w:hAnsi="Times New Roman"/>
                <w:b/>
                <w:lang w:val="en-US"/>
              </w:rPr>
              <w:t xml:space="preserve">13. </w:t>
            </w:r>
            <w:proofErr w:type="spellStart"/>
            <w:r w:rsidRPr="00FF1027">
              <w:rPr>
                <w:rFonts w:ascii="Times New Roman" w:hAnsi="Times New Roman"/>
                <w:b/>
                <w:lang w:val="en-US"/>
              </w:rPr>
              <w:t>Jednostka</w:t>
            </w:r>
            <w:proofErr w:type="spellEnd"/>
            <w:r w:rsidRPr="00FF1027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b/>
                <w:lang w:val="en-US"/>
              </w:rPr>
              <w:t>realizująca</w:t>
            </w:r>
            <w:proofErr w:type="spellEnd"/>
            <w:r w:rsidRPr="00FF1027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b/>
                <w:lang w:val="en-US"/>
              </w:rPr>
              <w:t>przedmiot</w:t>
            </w:r>
            <w:proofErr w:type="spellEnd"/>
            <w:r w:rsidRPr="00FF1027">
              <w:rPr>
                <w:rFonts w:ascii="Times New Roman" w:hAnsi="Times New Roman"/>
                <w:b/>
                <w:lang w:val="en-US"/>
              </w:rPr>
              <w:t xml:space="preserve">, </w:t>
            </w:r>
            <w:proofErr w:type="spellStart"/>
            <w:r w:rsidRPr="00FF1027">
              <w:rPr>
                <w:rFonts w:ascii="Times New Roman" w:hAnsi="Times New Roman"/>
                <w:b/>
                <w:lang w:val="en-US"/>
              </w:rPr>
              <w:t>adres</w:t>
            </w:r>
            <w:proofErr w:type="spellEnd"/>
            <w:r w:rsidRPr="00FF1027">
              <w:rPr>
                <w:rFonts w:ascii="Times New Roman" w:hAnsi="Times New Roman"/>
                <w:b/>
                <w:lang w:val="en-US"/>
              </w:rPr>
              <w:t>, e-mail:</w:t>
            </w:r>
          </w:p>
          <w:p w14:paraId="22B35447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FF1027">
              <w:rPr>
                <w:rFonts w:ascii="Times New Roman" w:hAnsi="Times New Roman"/>
                <w:lang w:val="en-US"/>
              </w:rPr>
              <w:t>Zakład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Zdrowia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Reprodukcyjnego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Seksuologii</w:t>
            </w:r>
            <w:proofErr w:type="spellEnd"/>
          </w:p>
          <w:p w14:paraId="54B4EF6C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F1027">
              <w:rPr>
                <w:rFonts w:ascii="Times New Roman" w:hAnsi="Times New Roman"/>
                <w:lang w:val="en-US"/>
              </w:rPr>
              <w:t>Katedra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Zdrowia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Kobiety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WNoZ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w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Katowicach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</w:p>
          <w:p w14:paraId="3C51F4F3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40-752 Katowice, ul Medyków 12, </w:t>
            </w:r>
            <w:proofErr w:type="spellStart"/>
            <w:r w:rsidRPr="00FF1027">
              <w:rPr>
                <w:rFonts w:ascii="Times New Roman" w:hAnsi="Times New Roman"/>
              </w:rPr>
              <w:t>phone</w:t>
            </w:r>
            <w:proofErr w:type="spellEnd"/>
            <w:r w:rsidRPr="00FF1027">
              <w:rPr>
                <w:rFonts w:ascii="Times New Roman" w:hAnsi="Times New Roman"/>
              </w:rPr>
              <w:t xml:space="preserve"> +48 32 2088751;</w:t>
            </w:r>
          </w:p>
          <w:p w14:paraId="62BC8E69" w14:textId="2F2EEBA4" w:rsidR="00FF1027" w:rsidRPr="00FF1027" w:rsidRDefault="00FF1027" w:rsidP="00ED7F69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hyperlink r:id="rId4" w:history="1">
              <w:r w:rsidRPr="00FF1027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FF1027" w:rsidRPr="00FF1027" w14:paraId="41A58526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BA79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F102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6D6778B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lang w:val="en-US"/>
              </w:rPr>
            </w:pPr>
            <w:r w:rsidRPr="00FF1027">
              <w:rPr>
                <w:rFonts w:ascii="Times New Roman" w:hAnsi="Times New Roman"/>
                <w:b/>
                <w:bCs/>
              </w:rPr>
              <w:t xml:space="preserve">Kierownik Zakładu: </w:t>
            </w:r>
            <w:proofErr w:type="spellStart"/>
            <w:r w:rsidRPr="00FF1027">
              <w:rPr>
                <w:rFonts w:ascii="Times New Roman" w:hAnsi="Times New Roman"/>
                <w:color w:val="000000"/>
              </w:rPr>
              <w:t>prof</w:t>
            </w:r>
            <w:proofErr w:type="spellEnd"/>
            <w:r w:rsidRPr="00FF1027">
              <w:rPr>
                <w:rFonts w:ascii="Times New Roman" w:hAnsi="Times New Roman"/>
                <w:color w:val="000000"/>
              </w:rPr>
              <w:t xml:space="preserve"> dr hab. n. </w:t>
            </w:r>
            <w:proofErr w:type="spellStart"/>
            <w:r w:rsidRPr="00FF1027">
              <w:rPr>
                <w:rFonts w:ascii="Times New Roman" w:hAnsi="Times New Roman"/>
                <w:color w:val="000000"/>
              </w:rPr>
              <w:t>med.</w:t>
            </w:r>
            <w:r w:rsidRPr="00FF1027">
              <w:rPr>
                <w:rStyle w:val="Pogrubienie"/>
                <w:rFonts w:ascii="Times New Roman" w:hAnsi="Times New Roman"/>
                <w:b w:val="0"/>
                <w:bCs w:val="0"/>
                <w:color w:val="000000"/>
              </w:rPr>
              <w:t>Violetta</w:t>
            </w:r>
            <w:proofErr w:type="spellEnd"/>
            <w:r w:rsidRPr="00FF1027">
              <w:rPr>
                <w:rStyle w:val="Pogrubienie"/>
                <w:rFonts w:ascii="Times New Roman" w:hAnsi="Times New Roman"/>
                <w:b w:val="0"/>
                <w:bCs w:val="0"/>
                <w:color w:val="000000"/>
              </w:rPr>
              <w:t xml:space="preserve"> </w:t>
            </w:r>
            <w:proofErr w:type="spellStart"/>
            <w:r w:rsidRPr="00FF1027">
              <w:rPr>
                <w:rStyle w:val="Pogrubienie"/>
                <w:rFonts w:ascii="Times New Roman" w:hAnsi="Times New Roman"/>
                <w:b w:val="0"/>
                <w:bCs w:val="0"/>
                <w:color w:val="000000"/>
              </w:rPr>
              <w:t>Skrzypulec</w:t>
            </w:r>
            <w:proofErr w:type="spellEnd"/>
            <w:r w:rsidRPr="00FF1027">
              <w:rPr>
                <w:rStyle w:val="Pogrubienie"/>
                <w:rFonts w:ascii="Times New Roman" w:hAnsi="Times New Roman"/>
                <w:b w:val="0"/>
                <w:bCs w:val="0"/>
                <w:color w:val="000000"/>
              </w:rPr>
              <w:t>-Plinta</w:t>
            </w:r>
            <w:r w:rsidRPr="00FF102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DADDA88" w14:textId="2CB4E331" w:rsidR="00FF1027" w:rsidRPr="00FF1027" w:rsidRDefault="00FF1027" w:rsidP="00ED7F69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FF1027">
              <w:rPr>
                <w:rFonts w:ascii="Times New Roman" w:hAnsi="Times New Roman"/>
                <w:b/>
                <w:bCs/>
                <w:lang w:val="en-US"/>
              </w:rPr>
              <w:t>Prowadzenie</w:t>
            </w:r>
            <w:proofErr w:type="spellEnd"/>
            <w:r w:rsidRPr="00FF1027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b/>
                <w:bCs/>
                <w:lang w:val="en-US"/>
              </w:rPr>
              <w:t>przedmiotu</w:t>
            </w:r>
            <w:proofErr w:type="spellEnd"/>
            <w:r w:rsidRPr="00FF1027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FF102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mgr</w:t>
            </w:r>
            <w:proofErr w:type="spellEnd"/>
            <w:r w:rsidRPr="00FF1027">
              <w:rPr>
                <w:rFonts w:ascii="Times New Roman" w:hAnsi="Times New Roman"/>
                <w:lang w:val="en-US"/>
              </w:rPr>
              <w:t xml:space="preserve"> Katarzyna </w:t>
            </w:r>
            <w:proofErr w:type="spellStart"/>
            <w:r w:rsidRPr="00FF1027">
              <w:rPr>
                <w:rFonts w:ascii="Times New Roman" w:hAnsi="Times New Roman"/>
                <w:lang w:val="en-US"/>
              </w:rPr>
              <w:t>Osadnik</w:t>
            </w:r>
            <w:proofErr w:type="spellEnd"/>
          </w:p>
        </w:tc>
      </w:tr>
      <w:tr w:rsidR="00FF1027" w:rsidRPr="00FF1027" w14:paraId="3FBBD73F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182C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bookmarkStart w:id="0" w:name="_GoBack" w:colFirst="0" w:colLast="0"/>
            <w:r w:rsidRPr="00FF102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3535A4B" w14:textId="791826D3" w:rsidR="00FF1027" w:rsidRPr="00FF1027" w:rsidRDefault="00FF1027" w:rsidP="00ED7F69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</w:rPr>
              <w:t>Student powinien wykazywać się wiedzą, umiejętnościami oraz kompetencjami w zakresie nauk podstawowych, społecznych i humanistycznych oraz podstaw w zakresie organizacji pracy położniczej.</w:t>
            </w:r>
          </w:p>
        </w:tc>
      </w:tr>
      <w:bookmarkEnd w:id="0"/>
      <w:tr w:rsidR="00FF1027" w:rsidRPr="00FF1027" w14:paraId="7E6A8F59" w14:textId="77777777" w:rsidTr="00FF1027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D6A39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0DA7B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Zgodna z uchwałą Senatu SUM</w:t>
            </w:r>
          </w:p>
        </w:tc>
      </w:tr>
      <w:tr w:rsidR="00FF1027" w:rsidRPr="00FF1027" w14:paraId="574B6896" w14:textId="77777777" w:rsidTr="00FF1027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A5466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4ABB0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Przygotowane i udostępnione przez prowadzącego zajęcia, </w:t>
            </w:r>
          </w:p>
        </w:tc>
      </w:tr>
      <w:tr w:rsidR="00FF1027" w:rsidRPr="00FF1027" w14:paraId="7C795E0D" w14:textId="77777777" w:rsidTr="00FF1027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820D5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32CC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Sale </w:t>
            </w:r>
            <w:proofErr w:type="spellStart"/>
            <w:r w:rsidRPr="00FF1027">
              <w:rPr>
                <w:rFonts w:ascii="Times New Roman" w:hAnsi="Times New Roman"/>
              </w:rPr>
              <w:t>WNoZK</w:t>
            </w:r>
            <w:proofErr w:type="spellEnd"/>
            <w:r w:rsidRPr="00FF1027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FF1027" w:rsidRPr="00FF1027" w14:paraId="431F8C38" w14:textId="77777777" w:rsidTr="00FF1027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A146B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E3998" w14:textId="77777777" w:rsidR="00FF1027" w:rsidRPr="00FF1027" w:rsidRDefault="00FF1027" w:rsidP="00ED7F69">
            <w:pPr>
              <w:spacing w:after="0" w:line="240" w:lineRule="auto"/>
              <w:rPr>
                <w:rStyle w:val="Hipercze"/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Wg informacji na stronie internetowej oraz tablicy ogłoszeń Zakładu Zdrowia Reprodukcyjnego i Seksuologii (ul. Medyków 12, Katowice-Ligota –VIII p.) </w:t>
            </w:r>
          </w:p>
          <w:p w14:paraId="51444533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FF1027">
              <w:rPr>
                <w:rStyle w:val="Hipercze"/>
                <w:rFonts w:ascii="Times New Roman" w:hAnsi="Times New Roman"/>
              </w:rPr>
              <w:t>http://katedrazdrowiakobiety.sum.edu.pl/?r=artykul/view&amp;id=50</w:t>
            </w:r>
            <w:hyperlink r:id="rId5" w:history="1"/>
          </w:p>
        </w:tc>
      </w:tr>
      <w:tr w:rsidR="00FF1027" w:rsidRPr="00FF1027" w14:paraId="0C092446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532041" w14:textId="77777777" w:rsidR="00FF1027" w:rsidRPr="00FF1027" w:rsidRDefault="00FF1027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FF1027" w:rsidRPr="00FF1027" w14:paraId="10D2E1F1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4FEB" w14:textId="77777777" w:rsidR="00FF1027" w:rsidRPr="00FF1027" w:rsidRDefault="00FF102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3D6F0" w14:textId="77777777" w:rsidR="00FF1027" w:rsidRPr="00FF1027" w:rsidRDefault="00FF102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9BCF6" w14:textId="77777777" w:rsidR="00FF1027" w:rsidRPr="00FF1027" w:rsidRDefault="00FF1027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FF1027" w:rsidRPr="00FF1027" w14:paraId="3D0EB823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2935A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P_W01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B8B09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zna pojęcie stanowiska pracy, zakres obowiązków, uprawnień i odpowiedzialności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1999B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C.W23</w:t>
            </w:r>
          </w:p>
        </w:tc>
      </w:tr>
      <w:tr w:rsidR="00FF1027" w:rsidRPr="00FF1027" w14:paraId="51512965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ADD12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P_W02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EAE2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zna przepisy prawa dotyczące czasu pracy, pracy zmianowej, rozkładu czasu pracy obciążenia na stanowisku pielęgniarki i położnej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2B6F1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C.W24</w:t>
            </w:r>
          </w:p>
        </w:tc>
      </w:tr>
      <w:tr w:rsidR="00FF1027" w:rsidRPr="00FF1027" w14:paraId="4B62A0EF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DEC79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P_W03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59D32" w14:textId="7F3EE7A5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zna podstawowe metody organizacji opieki położniczej i ich znaczenie dla jakości tej opieki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6CB2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C.W25</w:t>
            </w:r>
          </w:p>
        </w:tc>
      </w:tr>
      <w:tr w:rsidR="00FF1027" w:rsidRPr="00FF1027" w14:paraId="775E1BB3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4DA7A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P_W04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E3225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zna etapy planowania pracy własnej i podległego personelu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67549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C.W26</w:t>
            </w:r>
          </w:p>
        </w:tc>
      </w:tr>
      <w:tr w:rsidR="00FF1027" w:rsidRPr="00FF1027" w14:paraId="231A7DC8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9AC58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P_W05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591CC" w14:textId="350E4376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zna możliwości planowania kariery zawodowej i uwarunkowania własnego rozwoju zawodowego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71342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C.W27</w:t>
            </w:r>
          </w:p>
        </w:tc>
      </w:tr>
      <w:tr w:rsidR="00FF1027" w:rsidRPr="00FF1027" w14:paraId="1EAEA515" w14:textId="77777777" w:rsidTr="00FF1027">
        <w:trPr>
          <w:trHeight w:val="29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1AFA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P_W06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C0F0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zna problematykę jakości w opiece zdrowotnej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9820A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C.W28</w:t>
            </w:r>
          </w:p>
        </w:tc>
      </w:tr>
      <w:tr w:rsidR="00FF1027" w:rsidRPr="00FF1027" w14:paraId="563C6561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7A2E8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P_U01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18D3F" w14:textId="2B49A6B8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potrafi monitorować zagrożenia w pracy położnej i czynniki sprzyjające występowaniu chorób zawodowych oraz wypadków przy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4AA77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C.U35</w:t>
            </w:r>
          </w:p>
        </w:tc>
      </w:tr>
      <w:tr w:rsidR="00FF1027" w:rsidRPr="00FF1027" w14:paraId="2A679ED5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A2562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P_U02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91711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potrafi planować własny rozwój zawodowy i rozwijać umiejętności aktywnego poszukiwania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6A152" w14:textId="77777777" w:rsidR="00FF1027" w:rsidRPr="00FF1027" w:rsidRDefault="00FF1027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  C.U36</w:t>
            </w:r>
          </w:p>
        </w:tc>
      </w:tr>
      <w:tr w:rsidR="00FF1027" w:rsidRPr="00FF1027" w14:paraId="4E1B0848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1543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P_U03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D9AE8" w14:textId="438DAB66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umie współuczestniczyć w opracowaniu standardów i procedur praktyki położniczej oraz monitorować jakość opieki położniczej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A1E1" w14:textId="77777777" w:rsidR="00FF1027" w:rsidRPr="00FF1027" w:rsidRDefault="00FF1027" w:rsidP="00ED7F69">
            <w:pPr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C.U37</w:t>
            </w:r>
          </w:p>
        </w:tc>
      </w:tr>
      <w:tr w:rsidR="00FF1027" w:rsidRPr="00FF1027" w14:paraId="1704F667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9A04C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P_U04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78443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potrafi podejmować decyzje dotyczące doboru metod pracy oraz współpracy w zespole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D388" w14:textId="77777777" w:rsidR="00FF1027" w:rsidRPr="00FF1027" w:rsidRDefault="00FF1027" w:rsidP="00ED7F69">
            <w:pPr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        C.U38</w:t>
            </w:r>
          </w:p>
        </w:tc>
      </w:tr>
      <w:tr w:rsidR="00FF1027" w:rsidRPr="00FF1027" w14:paraId="28BAAB78" w14:textId="77777777" w:rsidTr="00FF1027">
        <w:trPr>
          <w:trHeight w:val="29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D99C5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P_U05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F7ED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Student potrafi nadzorować i oceniać pracę podległego personelu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4255F" w14:textId="77777777" w:rsidR="00FF1027" w:rsidRPr="00FF1027" w:rsidRDefault="00FF1027" w:rsidP="00ED7F69">
            <w:pPr>
              <w:spacing w:after="0"/>
              <w:ind w:left="36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C.U39</w:t>
            </w:r>
          </w:p>
        </w:tc>
      </w:tr>
      <w:tr w:rsidR="00FF1027" w:rsidRPr="00FF1027" w14:paraId="7373D53B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0DB1C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PEUs_K1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283B5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Student jest gotów do kierowania się dobrem pacjenta, szanuje godność i autonomię osób powierzonych opiece, okazywania zrozumienia dla różnic </w:t>
            </w:r>
            <w:r w:rsidRPr="00FF1027">
              <w:rPr>
                <w:rFonts w:ascii="Times New Roman" w:hAnsi="Times New Roman"/>
              </w:rPr>
              <w:lastRenderedPageBreak/>
              <w:t>światopoglądowych i kulturowych oraz empatii w relacji z pacjentem i jego rodziną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9BFB" w14:textId="77777777" w:rsidR="00FF1027" w:rsidRPr="00FF1027" w:rsidRDefault="00FF1027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lastRenderedPageBreak/>
              <w:t>K1</w:t>
            </w:r>
          </w:p>
        </w:tc>
      </w:tr>
      <w:tr w:rsidR="00FF1027" w:rsidRPr="00FF1027" w14:paraId="7A169564" w14:textId="77777777" w:rsidTr="00FF102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82B99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PEUs_K2</w:t>
            </w:r>
          </w:p>
        </w:tc>
        <w:tc>
          <w:tcPr>
            <w:tcW w:w="6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D6D77" w14:textId="77777777" w:rsidR="00FF1027" w:rsidRPr="00FF1027" w:rsidRDefault="00FF1027" w:rsidP="00FF10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 Student przestrzega praw pacjenta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42C0" w14:textId="77777777" w:rsidR="00FF1027" w:rsidRPr="00FF1027" w:rsidRDefault="00FF1027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K2</w:t>
            </w:r>
          </w:p>
        </w:tc>
      </w:tr>
      <w:tr w:rsidR="00FF1027" w:rsidRPr="00FF1027" w14:paraId="536567EF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F6E0EC5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975B4" w14:textId="77777777" w:rsidR="00FF1027" w:rsidRPr="00FF1027" w:rsidRDefault="00FF1027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FF1027" w:rsidRPr="00FF1027" w14:paraId="34FD5E15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12B17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771" w14:textId="10EEE2B5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9</w:t>
            </w:r>
          </w:p>
        </w:tc>
      </w:tr>
      <w:tr w:rsidR="00FF1027" w:rsidRPr="00FF1027" w14:paraId="5E209AB4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F11E9" w14:textId="77777777" w:rsidR="00FF1027" w:rsidRPr="00FF1027" w:rsidRDefault="00FF1027" w:rsidP="00FF1027">
            <w:pPr>
              <w:autoSpaceDE w:val="0"/>
              <w:spacing w:after="0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Pojęcie stanowiska pracy, zakres obowiązków, uprawnień i odpowiedzialności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F0006" w14:textId="77777777" w:rsidR="00FF1027" w:rsidRPr="00FF1027" w:rsidRDefault="00FF1027" w:rsidP="00FF10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4</w:t>
            </w:r>
          </w:p>
        </w:tc>
      </w:tr>
      <w:tr w:rsidR="00FF1027" w:rsidRPr="00FF1027" w14:paraId="587FDEB8" w14:textId="77777777" w:rsidTr="00FF1027">
        <w:trPr>
          <w:trHeight w:val="485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BD1E5" w14:textId="77777777" w:rsidR="00FF1027" w:rsidRPr="00FF1027" w:rsidRDefault="00FF1027" w:rsidP="00FF1027">
            <w:pPr>
              <w:autoSpaceDE w:val="0"/>
              <w:spacing w:after="0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 xml:space="preserve">Przepisy prawa dotyczące czasu pracy, pracy zmianowej, rozkładu czasu pracy i obciążenia na stanowiskach pielęgniarskich i położniczych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00440" w14:textId="77777777" w:rsidR="00FF1027" w:rsidRPr="00FF1027" w:rsidRDefault="00FF1027" w:rsidP="00FF10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5</w:t>
            </w:r>
          </w:p>
        </w:tc>
      </w:tr>
      <w:tr w:rsidR="00FF1027" w:rsidRPr="00FF1027" w14:paraId="49450BD0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02005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E3B" w14:textId="77777777" w:rsidR="00FF1027" w:rsidRPr="00FF1027" w:rsidRDefault="00FF1027" w:rsidP="00FF10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5</w:t>
            </w:r>
          </w:p>
        </w:tc>
      </w:tr>
      <w:tr w:rsidR="00FF1027" w:rsidRPr="00FF1027" w14:paraId="37AA319C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3151C" w14:textId="77777777" w:rsidR="00FF1027" w:rsidRPr="00FF1027" w:rsidRDefault="00FF1027" w:rsidP="00FF1027">
            <w:pPr>
              <w:autoSpaceDE w:val="0"/>
              <w:spacing w:after="0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Możliwość planowania kariery zawodowej i uwarunkowania własnego rozwoju zawodowego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C6A3" w14:textId="377BEA29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2</w:t>
            </w:r>
          </w:p>
        </w:tc>
      </w:tr>
      <w:tr w:rsidR="00FF1027" w:rsidRPr="00FF1027" w14:paraId="30C6CB8C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DF1B6" w14:textId="77777777" w:rsidR="00FF1027" w:rsidRPr="00FF1027" w:rsidRDefault="00FF1027" w:rsidP="00FF1027">
            <w:pPr>
              <w:autoSpaceDE w:val="0"/>
              <w:spacing w:after="0"/>
              <w:jc w:val="both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Problematyka jakości w opiece zdrowotnej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E83E5" w14:textId="77777777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3</w:t>
            </w:r>
          </w:p>
        </w:tc>
      </w:tr>
      <w:tr w:rsidR="00FF1027" w:rsidRPr="00FF1027" w14:paraId="01190F83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B8E27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95546" w14:textId="77777777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5</w:t>
            </w:r>
          </w:p>
        </w:tc>
      </w:tr>
      <w:tr w:rsidR="00FF1027" w:rsidRPr="00FF1027" w14:paraId="2C61A398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4C718" w14:textId="77777777" w:rsidR="00FF1027" w:rsidRPr="00FF1027" w:rsidRDefault="00FF1027" w:rsidP="00ED7F69">
            <w:pPr>
              <w:autoSpaceDE w:val="0"/>
              <w:spacing w:after="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Podstawowe metody organizacji opieki położniczej i ich znaczenie dla jakości tej opieki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6B52F" w14:textId="77777777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2</w:t>
            </w:r>
          </w:p>
        </w:tc>
      </w:tr>
      <w:tr w:rsidR="00FF1027" w:rsidRPr="00FF1027" w14:paraId="4F5492E2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DB7B1" w14:textId="77777777" w:rsidR="00FF1027" w:rsidRPr="00FF1027" w:rsidRDefault="00FF1027" w:rsidP="00ED7F69">
            <w:pPr>
              <w:autoSpaceDE w:val="0"/>
              <w:spacing w:after="0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Etapy planowania pracy własnej i podległego personelu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CC0FD" w14:textId="77777777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3</w:t>
            </w:r>
          </w:p>
        </w:tc>
      </w:tr>
      <w:tr w:rsidR="00FF1027" w:rsidRPr="00FF1027" w14:paraId="1B391763" w14:textId="77777777" w:rsidTr="00FF1027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3D44B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 xml:space="preserve">21.4 Samokształcenie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4C8A" w14:textId="77777777" w:rsidR="00FF1027" w:rsidRPr="00FF1027" w:rsidRDefault="00FF1027" w:rsidP="00FF102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10</w:t>
            </w:r>
          </w:p>
        </w:tc>
      </w:tr>
      <w:tr w:rsidR="00FF1027" w:rsidRPr="00FF1027" w14:paraId="3AD222BF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42EEDA" w14:textId="77777777" w:rsidR="00FF1027" w:rsidRPr="00FF1027" w:rsidRDefault="00FF1027" w:rsidP="00ED7F6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FF1027" w:rsidRPr="00FF1027" w14:paraId="1F15A023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965DD" w14:textId="27D2E769" w:rsidR="00FF1027" w:rsidRPr="00FF1027" w:rsidRDefault="00FF1027" w:rsidP="00FF10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Cs/>
              </w:rPr>
              <w:t xml:space="preserve">1. Podstawy zarządzania / Józef </w:t>
            </w:r>
            <w:proofErr w:type="spellStart"/>
            <w:r w:rsidRPr="00FF1027">
              <w:rPr>
                <w:rFonts w:ascii="Times New Roman" w:hAnsi="Times New Roman"/>
                <w:bCs/>
              </w:rPr>
              <w:t>Machaczka</w:t>
            </w:r>
            <w:proofErr w:type="spellEnd"/>
            <w:r w:rsidRPr="00FF1027">
              <w:rPr>
                <w:rFonts w:ascii="Times New Roman" w:hAnsi="Times New Roman"/>
                <w:bCs/>
              </w:rPr>
              <w:t>. - Wyd. 3. - Kraków : Wydaw. Akademii Ekonomicznej w Krakowie, 2005.</w:t>
            </w:r>
            <w:r w:rsidRPr="00FF1027">
              <w:rPr>
                <w:rFonts w:ascii="Times New Roman" w:hAnsi="Times New Roman"/>
                <w:bCs/>
              </w:rPr>
              <w:br/>
              <w:t xml:space="preserve">2. Podstawy zarządzania organizacjami / </w:t>
            </w:r>
            <w:proofErr w:type="spellStart"/>
            <w:r w:rsidRPr="00FF1027">
              <w:rPr>
                <w:rFonts w:ascii="Times New Roman" w:hAnsi="Times New Roman"/>
                <w:bCs/>
              </w:rPr>
              <w:t>Ricky</w:t>
            </w:r>
            <w:proofErr w:type="spellEnd"/>
            <w:r w:rsidRPr="00FF1027">
              <w:rPr>
                <w:rFonts w:ascii="Times New Roman" w:hAnsi="Times New Roman"/>
                <w:bCs/>
              </w:rPr>
              <w:t xml:space="preserve"> W. Griffin ; przekł. Michał Rusiński ; red. nauk. przekł. Zofia Mikołajczyk. - Wyd. 2 zm., (4 </w:t>
            </w:r>
            <w:proofErr w:type="spellStart"/>
            <w:r w:rsidRPr="00FF1027">
              <w:rPr>
                <w:rFonts w:ascii="Times New Roman" w:hAnsi="Times New Roman"/>
                <w:bCs/>
              </w:rPr>
              <w:t>dodr</w:t>
            </w:r>
            <w:proofErr w:type="spellEnd"/>
            <w:r w:rsidRPr="00FF1027">
              <w:rPr>
                <w:rFonts w:ascii="Times New Roman" w:hAnsi="Times New Roman"/>
                <w:bCs/>
              </w:rPr>
              <w:t>.). - Warszawa : Wydawnictwo Naukowe PWN, 2008.</w:t>
            </w:r>
            <w:r w:rsidRPr="00FF1027">
              <w:rPr>
                <w:rFonts w:ascii="Times New Roman" w:hAnsi="Times New Roman"/>
                <w:bCs/>
              </w:rPr>
              <w:br/>
              <w:t>3. Metody sprawnego zarządzania : planowanie, organizowanie, motywowanie, kontrola / Henryk Bieniok i zespół. - [Wyd. 4]. - Warszawa : "Placet", 2004.</w:t>
            </w:r>
            <w:r w:rsidRPr="00FF1027">
              <w:rPr>
                <w:rFonts w:ascii="Times New Roman" w:hAnsi="Times New Roman"/>
                <w:bCs/>
              </w:rPr>
              <w:br/>
              <w:t xml:space="preserve">4. Marketing / Philip </w:t>
            </w:r>
            <w:proofErr w:type="spellStart"/>
            <w:r w:rsidRPr="00FF1027">
              <w:rPr>
                <w:rFonts w:ascii="Times New Roman" w:hAnsi="Times New Roman"/>
                <w:bCs/>
              </w:rPr>
              <w:t>Kotler</w:t>
            </w:r>
            <w:proofErr w:type="spellEnd"/>
            <w:r w:rsidRPr="00FF1027">
              <w:rPr>
                <w:rFonts w:ascii="Times New Roman" w:hAnsi="Times New Roman"/>
                <w:bCs/>
              </w:rPr>
              <w:t xml:space="preserve"> ; wyd. pod red. Bogny Pilarczyk oraz Henryka Mruka ; przekł. zbiorowy [Robert Bartołd et al.]. - Poznań : "</w:t>
            </w:r>
            <w:proofErr w:type="spellStart"/>
            <w:r w:rsidRPr="00FF1027">
              <w:rPr>
                <w:rFonts w:ascii="Times New Roman" w:hAnsi="Times New Roman"/>
                <w:bCs/>
              </w:rPr>
              <w:t>Rebis</w:t>
            </w:r>
            <w:proofErr w:type="spellEnd"/>
            <w:r w:rsidRPr="00FF1027">
              <w:rPr>
                <w:rFonts w:ascii="Times New Roman" w:hAnsi="Times New Roman"/>
                <w:bCs/>
              </w:rPr>
              <w:t xml:space="preserve">", </w:t>
            </w:r>
            <w:proofErr w:type="spellStart"/>
            <w:r w:rsidRPr="00FF1027">
              <w:rPr>
                <w:rFonts w:ascii="Times New Roman" w:hAnsi="Times New Roman"/>
                <w:bCs/>
              </w:rPr>
              <w:t>cop</w:t>
            </w:r>
            <w:proofErr w:type="spellEnd"/>
            <w:r w:rsidRPr="00FF1027">
              <w:rPr>
                <w:rFonts w:ascii="Times New Roman" w:hAnsi="Times New Roman"/>
                <w:bCs/>
              </w:rPr>
              <w:t>. 2005.</w:t>
            </w:r>
            <w:r w:rsidRPr="00FF1027">
              <w:rPr>
                <w:rFonts w:ascii="Times New Roman" w:hAnsi="Times New Roman"/>
                <w:bCs/>
              </w:rPr>
              <w:br/>
            </w:r>
            <w:r w:rsidRPr="00FF1027">
              <w:rPr>
                <w:rFonts w:ascii="Times New Roman" w:eastAsia="Times New Roman" w:hAnsi="Times New Roman"/>
                <w:bCs/>
              </w:rPr>
              <w:t xml:space="preserve">5. P. Krasucki – „Optymalizacja  systemu  ochrony zdrowia”, </w:t>
            </w:r>
            <w:proofErr w:type="spellStart"/>
            <w:r w:rsidRPr="00FF1027">
              <w:rPr>
                <w:rFonts w:ascii="Times New Roman" w:eastAsia="Times New Roman" w:hAnsi="Times New Roman"/>
                <w:bCs/>
              </w:rPr>
              <w:t>CeDeWu</w:t>
            </w:r>
            <w:proofErr w:type="spellEnd"/>
            <w:r w:rsidRPr="00FF1027">
              <w:rPr>
                <w:rFonts w:ascii="Times New Roman" w:eastAsia="Times New Roman" w:hAnsi="Times New Roman"/>
                <w:bCs/>
              </w:rPr>
              <w:t>, Warszawa 2005</w:t>
            </w:r>
            <w:r w:rsidRPr="00FF1027">
              <w:rPr>
                <w:rFonts w:ascii="Times New Roman" w:eastAsia="Times New Roman" w:hAnsi="Times New Roman"/>
                <w:bCs/>
              </w:rPr>
              <w:br/>
              <w:t>6. Z. Mikołajczyk – „Techniki  organizatorskie  w  rozwiązywaniu  problemów  zarządzania”, PWN, Warszawa  1997,</w:t>
            </w:r>
            <w:r w:rsidRPr="00FF1027">
              <w:rPr>
                <w:rFonts w:ascii="Times New Roman" w:eastAsia="Times New Roman" w:hAnsi="Times New Roman"/>
                <w:bCs/>
              </w:rPr>
              <w:br/>
              <w:t>7.  Pod red. H. Lenartowicz – „ Zarządzanie  opieką  pielęgniarską  w  reformowanym  systemie  ochrony  zdrowia”</w:t>
            </w:r>
            <w:r w:rsidRPr="00FF1027">
              <w:rPr>
                <w:rFonts w:ascii="Times New Roman" w:eastAsia="Times New Roman" w:hAnsi="Times New Roman"/>
                <w:bCs/>
              </w:rPr>
              <w:br/>
              <w:t xml:space="preserve">8.  Pod red. B. Nogalskiego – „Nowoczesne zarządzanie  zakładem  opieki  zdrowotnej” Dom  Organizatora Toruń 2002 </w:t>
            </w:r>
            <w:r w:rsidRPr="00FF1027">
              <w:rPr>
                <w:rFonts w:ascii="Times New Roman" w:eastAsia="Times New Roman" w:hAnsi="Times New Roman"/>
                <w:bCs/>
              </w:rPr>
              <w:br/>
              <w:t>9. Justyna  Rój, Jan  Sobiech – „Zarządzanie  finansami  szpitala”, ABC, Warszawa 2006</w:t>
            </w:r>
            <w:r w:rsidRPr="00FF1027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F1027" w:rsidRPr="00FF1027" w14:paraId="3754F0E5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91541E" w14:textId="331BEE61" w:rsidR="00FF1027" w:rsidRPr="00FF1027" w:rsidRDefault="00FF1027" w:rsidP="00FF1027">
            <w:pPr>
              <w:snapToGrid w:val="0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FF1027" w:rsidRPr="00FF1027" w14:paraId="25751041" w14:textId="77777777" w:rsidTr="00FF1027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DAADC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Zgodnie z zaleceniami organów kontrolujących.</w:t>
            </w:r>
          </w:p>
          <w:p w14:paraId="7A4079D5" w14:textId="77777777" w:rsidR="00FF1027" w:rsidRPr="00FF1027" w:rsidRDefault="00FF1027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F102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1F169D0" w14:textId="5194C632" w:rsidR="00FF1027" w:rsidRPr="00FF1027" w:rsidRDefault="00FF1027" w:rsidP="00FF102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F102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D096E15" w14:textId="77777777" w:rsidR="00FF1027" w:rsidRPr="009A598B" w:rsidRDefault="00FF1027" w:rsidP="009A598B">
      <w:pPr>
        <w:spacing w:after="0" w:line="260" w:lineRule="atLeast"/>
        <w:jc w:val="both"/>
        <w:rPr>
          <w:rFonts w:ascii="Times New Roman" w:hAnsi="Times New Roman"/>
        </w:rPr>
      </w:pPr>
    </w:p>
    <w:sectPr w:rsidR="00FF1027" w:rsidRPr="009A598B" w:rsidSect="00CA2B74">
      <w:pgSz w:w="11906" w:h="16838"/>
      <w:pgMar w:top="1135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C8"/>
    <w:rsid w:val="000D3065"/>
    <w:rsid w:val="001B71F3"/>
    <w:rsid w:val="003E029F"/>
    <w:rsid w:val="00477FC8"/>
    <w:rsid w:val="004B1947"/>
    <w:rsid w:val="00612846"/>
    <w:rsid w:val="00795329"/>
    <w:rsid w:val="007A5686"/>
    <w:rsid w:val="009A598B"/>
    <w:rsid w:val="00CA2B74"/>
    <w:rsid w:val="00CA59EE"/>
    <w:rsid w:val="00D10BDA"/>
    <w:rsid w:val="00E05459"/>
    <w:rsid w:val="00E176AF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6F2EAE"/>
  <w15:chartTrackingRefBased/>
  <w15:docId w15:val="{A5D322D2-C61B-4B0B-848F-299F49C9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alibri" w:eastAsia="Calibri" w:hAnsi="Calibri" w:cs="Calibri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Calibri" w:eastAsia="Calibri" w:hAnsi="Calibri" w:cs="Calibri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Times New Roman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Calibri" w:hAnsi="Calibri" w:cs="Calibri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eastAsia="Times New Roman" w:hAnsi="Calibri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color w:val="FFFFFF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Calibri" w:eastAsia="Times New Roman" w:hAnsi="Calibri" w:cs="Times New Roman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1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19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1947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0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hyperlink" Target="http://www.katedrazdrowiakobiety.sum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1236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/>
  <LinksUpToDate>false</LinksUpToDate>
  <CharactersWithSpaces>8636</CharactersWithSpaces>
  <SharedDoc>false</SharedDoc>
  <HLinks>
    <vt:vector size="12" baseType="variant"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2020-01-30T11:13:00Z</cp:lastPrinted>
  <dcterms:created xsi:type="dcterms:W3CDTF">2024-02-28T16:12:00Z</dcterms:created>
  <dcterms:modified xsi:type="dcterms:W3CDTF">2024-09-26T06:42:00Z</dcterms:modified>
</cp:coreProperties>
</file>