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FD432" w14:textId="77777777" w:rsidR="00052014" w:rsidRPr="00D356F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174C6B11" w14:textId="77777777" w:rsidR="008050C4" w:rsidRPr="00D356F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D356F2">
        <w:rPr>
          <w:b/>
          <w:i/>
          <w:sz w:val="22"/>
        </w:rPr>
        <w:t>Załącznik nr 1a</w:t>
      </w:r>
    </w:p>
    <w:p w14:paraId="025D0E97" w14:textId="77777777" w:rsidR="00D356F2" w:rsidRDefault="008050C4" w:rsidP="00D356F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356F2">
        <w:rPr>
          <w:sz w:val="22"/>
        </w:rPr>
        <w:t xml:space="preserve">Karta przedmiotu </w:t>
      </w:r>
    </w:p>
    <w:p w14:paraId="69B42A0A" w14:textId="228C7B25" w:rsidR="008050C4" w:rsidRPr="00D356F2" w:rsidRDefault="008050C4" w:rsidP="00D356F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356F2">
        <w:rPr>
          <w:sz w:val="22"/>
        </w:rPr>
        <w:t xml:space="preserve">Cz. 1 </w:t>
      </w:r>
    </w:p>
    <w:tbl>
      <w:tblPr>
        <w:tblStyle w:val="TableGrid"/>
        <w:tblW w:w="9570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2613"/>
        <w:gridCol w:w="1429"/>
        <w:gridCol w:w="2563"/>
        <w:gridCol w:w="1973"/>
        <w:gridCol w:w="992"/>
      </w:tblGrid>
      <w:tr w:rsidR="008050C4" w:rsidRPr="00D356F2" w14:paraId="6A49C860" w14:textId="77777777" w:rsidTr="00D356F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BDAAAF" w14:textId="77777777" w:rsidR="008050C4" w:rsidRPr="00D356F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356F2" w14:paraId="6C66CE07" w14:textId="77777777" w:rsidTr="00D356F2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8EBAF" w14:textId="13546A4B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1. Kierunek studiów:</w:t>
            </w:r>
            <w:r w:rsidRPr="00D356F2">
              <w:rPr>
                <w:sz w:val="22"/>
              </w:rPr>
              <w:t xml:space="preserve"> </w:t>
            </w:r>
            <w:r w:rsidR="00D1371D" w:rsidRPr="00D356F2">
              <w:rPr>
                <w:sz w:val="22"/>
              </w:rPr>
              <w:t>Położnictwo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6621" w14:textId="5B27A5DC" w:rsidR="008050C4" w:rsidRPr="00D356F2" w:rsidRDefault="008050C4" w:rsidP="00D1371D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Poziom kształcenia:</w:t>
            </w:r>
            <w:r w:rsidRPr="00D356F2">
              <w:rPr>
                <w:sz w:val="22"/>
              </w:rPr>
              <w:t xml:space="preserve"> </w:t>
            </w:r>
            <w:r w:rsidR="00D1371D" w:rsidRPr="00D356F2">
              <w:rPr>
                <w:sz w:val="22"/>
              </w:rPr>
              <w:t>I</w:t>
            </w:r>
            <w:r w:rsidR="00450AB2" w:rsidRPr="00D356F2">
              <w:rPr>
                <w:sz w:val="22"/>
              </w:rPr>
              <w:t>I</w:t>
            </w:r>
            <w:r w:rsidR="00D1371D" w:rsidRPr="00D356F2">
              <w:rPr>
                <w:sz w:val="22"/>
              </w:rPr>
              <w:t xml:space="preserve"> stopień / profil </w:t>
            </w:r>
            <w:proofErr w:type="spellStart"/>
            <w:r w:rsidR="00450AB2" w:rsidRPr="00D356F2">
              <w:rPr>
                <w:sz w:val="22"/>
              </w:rPr>
              <w:t>ogólnoakademicki</w:t>
            </w:r>
            <w:proofErr w:type="spellEnd"/>
          </w:p>
          <w:p w14:paraId="38D8B364" w14:textId="04F96CC2" w:rsidR="008050C4" w:rsidRPr="00D356F2" w:rsidRDefault="008050C4" w:rsidP="00D1371D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Forma studiów:</w:t>
            </w:r>
            <w:r w:rsidRPr="00D356F2">
              <w:rPr>
                <w:sz w:val="22"/>
              </w:rPr>
              <w:t xml:space="preserve"> </w:t>
            </w:r>
            <w:r w:rsidR="00D1371D" w:rsidRPr="00D356F2">
              <w:rPr>
                <w:sz w:val="22"/>
              </w:rPr>
              <w:t xml:space="preserve">studia </w:t>
            </w:r>
            <w:r w:rsidR="002A19A6" w:rsidRPr="00D356F2">
              <w:rPr>
                <w:sz w:val="22"/>
              </w:rPr>
              <w:t>nie</w:t>
            </w:r>
            <w:r w:rsidR="00D1371D" w:rsidRPr="00D356F2">
              <w:rPr>
                <w:sz w:val="22"/>
              </w:rPr>
              <w:t>stacjonarne</w:t>
            </w:r>
          </w:p>
        </w:tc>
      </w:tr>
      <w:tr w:rsidR="008050C4" w:rsidRPr="00D356F2" w14:paraId="0532DC7C" w14:textId="77777777" w:rsidTr="00D356F2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E66B" w14:textId="29295026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4. Rok:</w:t>
            </w:r>
            <w:r w:rsidR="00D356F2" w:rsidRPr="00D356F2">
              <w:rPr>
                <w:b/>
                <w:sz w:val="22"/>
              </w:rPr>
              <w:t xml:space="preserve"> </w:t>
            </w:r>
            <w:r w:rsidR="00640262" w:rsidRPr="00D356F2">
              <w:rPr>
                <w:sz w:val="22"/>
              </w:rPr>
              <w:t>I</w:t>
            </w:r>
            <w:r w:rsidR="00212F92" w:rsidRPr="00D356F2">
              <w:rPr>
                <w:sz w:val="22"/>
              </w:rPr>
              <w:t>I</w:t>
            </w:r>
            <w:r w:rsidR="00701307">
              <w:rPr>
                <w:sz w:val="22"/>
              </w:rPr>
              <w:t xml:space="preserve"> </w:t>
            </w:r>
            <w:r w:rsidR="00D356F2">
              <w:rPr>
                <w:sz w:val="22"/>
              </w:rPr>
              <w:t>/</w:t>
            </w:r>
            <w:r w:rsidR="00701307">
              <w:rPr>
                <w:sz w:val="22"/>
              </w:rPr>
              <w:t xml:space="preserve"> </w:t>
            </w:r>
            <w:r w:rsidR="00EF19E9" w:rsidRPr="00D356F2">
              <w:rPr>
                <w:bCs/>
                <w:sz w:val="22"/>
              </w:rPr>
              <w:t>cykl 202</w:t>
            </w:r>
            <w:r w:rsidR="00C833F2" w:rsidRPr="00D356F2">
              <w:rPr>
                <w:bCs/>
                <w:sz w:val="22"/>
              </w:rPr>
              <w:t>4</w:t>
            </w:r>
            <w:r w:rsidR="00D356F2">
              <w:rPr>
                <w:bCs/>
                <w:sz w:val="22"/>
              </w:rPr>
              <w:t>-</w:t>
            </w:r>
            <w:r w:rsidR="00EF19E9" w:rsidRPr="00D356F2">
              <w:rPr>
                <w:bCs/>
                <w:sz w:val="22"/>
              </w:rPr>
              <w:t>202</w:t>
            </w:r>
            <w:r w:rsidR="00C833F2" w:rsidRPr="00D356F2">
              <w:rPr>
                <w:bCs/>
                <w:sz w:val="22"/>
              </w:rPr>
              <w:t>6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64B9" w14:textId="2A7CDDC4" w:rsidR="008050C4" w:rsidRPr="00D356F2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5. Semestr: </w:t>
            </w:r>
            <w:r w:rsidR="00450AB2" w:rsidRPr="00D356F2">
              <w:rPr>
                <w:sz w:val="22"/>
              </w:rPr>
              <w:t>III</w:t>
            </w:r>
            <w:r w:rsidR="00D356F2">
              <w:rPr>
                <w:sz w:val="22"/>
              </w:rPr>
              <w:t>,</w:t>
            </w:r>
            <w:r w:rsidR="00450AB2" w:rsidRPr="00D356F2">
              <w:rPr>
                <w:sz w:val="22"/>
              </w:rPr>
              <w:t>I</w:t>
            </w:r>
            <w:r w:rsidR="00212F92" w:rsidRPr="00D356F2">
              <w:rPr>
                <w:sz w:val="22"/>
              </w:rPr>
              <w:t>V</w:t>
            </w:r>
          </w:p>
        </w:tc>
      </w:tr>
      <w:tr w:rsidR="008050C4" w:rsidRPr="00D356F2" w14:paraId="608B7EB6" w14:textId="77777777" w:rsidTr="00D356F2">
        <w:trPr>
          <w:trHeight w:val="264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3B45" w14:textId="59F193D8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6. Nazwa przedmiotu:</w:t>
            </w:r>
            <w:r w:rsidRPr="00D356F2">
              <w:rPr>
                <w:sz w:val="22"/>
              </w:rPr>
              <w:t xml:space="preserve"> </w:t>
            </w:r>
            <w:r w:rsidR="00012442" w:rsidRPr="00D356F2">
              <w:rPr>
                <w:sz w:val="22"/>
              </w:rPr>
              <w:t>Seminarium dyplomowe</w:t>
            </w:r>
          </w:p>
        </w:tc>
      </w:tr>
      <w:tr w:rsidR="008050C4" w:rsidRPr="00D356F2" w14:paraId="3AC22478" w14:textId="77777777" w:rsidTr="00D356F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F23E" w14:textId="23C1BA5C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7. Status przedmiotu:</w:t>
            </w:r>
            <w:r w:rsidRPr="00D356F2">
              <w:rPr>
                <w:sz w:val="22"/>
              </w:rPr>
              <w:t xml:space="preserve"> </w:t>
            </w:r>
            <w:r w:rsidR="00D1371D" w:rsidRPr="00D356F2">
              <w:rPr>
                <w:sz w:val="22"/>
              </w:rPr>
              <w:t>obowiązkowy</w:t>
            </w:r>
          </w:p>
        </w:tc>
      </w:tr>
      <w:tr w:rsidR="008050C4" w:rsidRPr="00D356F2" w14:paraId="68D7D407" w14:textId="77777777" w:rsidTr="00D356F2">
        <w:trPr>
          <w:trHeight w:val="2289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D14E" w14:textId="391134DB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8. Cel/-e przedmiotu  </w:t>
            </w:r>
          </w:p>
          <w:p w14:paraId="0B431410" w14:textId="10393BC1" w:rsidR="00012442" w:rsidRPr="00D356F2" w:rsidRDefault="00450AB2" w:rsidP="00D356F2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D356F2">
              <w:rPr>
                <w:rFonts w:eastAsiaTheme="minorHAnsi"/>
                <w:color w:val="auto"/>
                <w:sz w:val="22"/>
                <w:lang w:eastAsia="en-US"/>
              </w:rPr>
              <w:t>Pogłębienie wiedzy z zakresu logicznego formułowania i rozwiązywania problemu badawczego. Nabycie umiejętności właściwego doboru i wykorzystania źródeł informacji. Nabycie wiedzy z zakresu przygotowania i obrony pracy dyplomowej – magisterskiej.</w:t>
            </w:r>
          </w:p>
          <w:p w14:paraId="2C62A59C" w14:textId="77777777" w:rsidR="00450AB2" w:rsidRPr="00D356F2" w:rsidRDefault="00450AB2" w:rsidP="00450AB2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</w:p>
          <w:p w14:paraId="76088BB7" w14:textId="77777777" w:rsidR="008050C4" w:rsidRPr="00D356F2" w:rsidRDefault="008050C4" w:rsidP="00701307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Efekty uczenia się/odniesienie do efektów uczenia się </w:t>
            </w:r>
            <w:r w:rsidRPr="00D356F2">
              <w:rPr>
                <w:sz w:val="22"/>
              </w:rPr>
              <w:t xml:space="preserve">zawartych w </w:t>
            </w:r>
            <w:r w:rsidRPr="00D356F2">
              <w:rPr>
                <w:i/>
                <w:sz w:val="22"/>
              </w:rPr>
              <w:t>(właściwe podkreślić)</w:t>
            </w:r>
            <w:r w:rsidRPr="00D356F2">
              <w:rPr>
                <w:sz w:val="22"/>
              </w:rPr>
              <w:t xml:space="preserve">: </w:t>
            </w:r>
          </w:p>
          <w:p w14:paraId="349625C7" w14:textId="77777777" w:rsidR="00D356F2" w:rsidRDefault="008050C4" w:rsidP="00701307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701307">
              <w:rPr>
                <w:sz w:val="22"/>
              </w:rPr>
              <w:t>standardach kształcenia</w:t>
            </w:r>
            <w:r w:rsidRPr="00D356F2">
              <w:rPr>
                <w:sz w:val="22"/>
              </w:rPr>
              <w:t xml:space="preserve"> (</w:t>
            </w:r>
            <w:r w:rsidRPr="00D356F2">
              <w:rPr>
                <w:sz w:val="22"/>
                <w:u w:val="single"/>
              </w:rPr>
              <w:t>Rozporządzenie Ministra Nauki i Szkolnictwa Wyższego</w:t>
            </w:r>
            <w:r w:rsidRPr="00D356F2">
              <w:rPr>
                <w:sz w:val="22"/>
              </w:rPr>
              <w:t xml:space="preserve">)/Uchwale Senatu SUM </w:t>
            </w:r>
            <w:r w:rsidRPr="00D356F2">
              <w:rPr>
                <w:i/>
                <w:sz w:val="22"/>
              </w:rPr>
              <w:t xml:space="preserve">(podać określenia zawarte w standardach kształcenia/symbole efektów zatwierdzone Uchwałą Senatu SUM) </w:t>
            </w:r>
          </w:p>
          <w:p w14:paraId="0307ED97" w14:textId="4726BFBA" w:rsidR="00450AB2" w:rsidRPr="00D356F2" w:rsidRDefault="008050C4" w:rsidP="00450AB2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w zakresie wiedzy stu</w:t>
            </w:r>
            <w:r w:rsidR="00D1371D" w:rsidRPr="00D356F2">
              <w:rPr>
                <w:sz w:val="22"/>
              </w:rPr>
              <w:t xml:space="preserve">dent zna i rozumie: </w:t>
            </w:r>
            <w:r w:rsidR="00450AB2" w:rsidRPr="00D356F2">
              <w:rPr>
                <w:sz w:val="22"/>
              </w:rPr>
              <w:t>C.W1, C.W2, C.W3, C.W4, C.W5, C.W6, C</w:t>
            </w:r>
            <w:r w:rsidR="00D1371D" w:rsidRPr="00D356F2">
              <w:rPr>
                <w:sz w:val="22"/>
              </w:rPr>
              <w:t>.W7.</w:t>
            </w:r>
          </w:p>
          <w:p w14:paraId="295208FA" w14:textId="2D81220C" w:rsidR="00D1371D" w:rsidRPr="00D356F2" w:rsidRDefault="008050C4" w:rsidP="00450AB2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w zakresie um</w:t>
            </w:r>
            <w:r w:rsidR="00D1371D" w:rsidRPr="00D356F2">
              <w:rPr>
                <w:sz w:val="22"/>
              </w:rPr>
              <w:t xml:space="preserve">iejętności student potrafi: </w:t>
            </w:r>
            <w:r w:rsidR="00450AB2" w:rsidRPr="00D356F2">
              <w:rPr>
                <w:sz w:val="22"/>
              </w:rPr>
              <w:t>C.U1, C.U2, C.U3, C.U4, C.U5, C.U6, C</w:t>
            </w:r>
            <w:r w:rsidR="00D1371D" w:rsidRPr="00D356F2">
              <w:rPr>
                <w:sz w:val="22"/>
              </w:rPr>
              <w:t>.U8.</w:t>
            </w:r>
          </w:p>
          <w:p w14:paraId="4B2F18D1" w14:textId="124891B9" w:rsidR="008050C4" w:rsidRPr="00D356F2" w:rsidRDefault="008050C4" w:rsidP="008812BE">
            <w:pPr>
              <w:spacing w:after="0" w:line="259" w:lineRule="auto"/>
              <w:ind w:left="28" w:right="88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w zakresie kompete</w:t>
            </w:r>
            <w:r w:rsidR="00D1371D" w:rsidRPr="00D356F2">
              <w:rPr>
                <w:sz w:val="22"/>
              </w:rPr>
              <w:t xml:space="preserve">ncji społecznych student jest gotów do: </w:t>
            </w:r>
            <w:r w:rsidR="008812BE" w:rsidRPr="00D356F2">
              <w:rPr>
                <w:sz w:val="22"/>
              </w:rPr>
              <w:t>p</w:t>
            </w:r>
            <w:r w:rsidR="00D1371D" w:rsidRPr="00D356F2">
              <w:rPr>
                <w:sz w:val="22"/>
              </w:rPr>
              <w:t>unkt 1.3 ogólnych efektów uczenia się</w:t>
            </w:r>
          </w:p>
        </w:tc>
      </w:tr>
      <w:tr w:rsidR="008050C4" w:rsidRPr="00D356F2" w14:paraId="27D2DF1B" w14:textId="77777777" w:rsidTr="00D356F2">
        <w:trPr>
          <w:trHeight w:val="262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0309" w14:textId="77777777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7F738B9" w14:textId="55B3171C" w:rsidR="00450AB2" w:rsidRPr="00D356F2" w:rsidRDefault="00450AB2" w:rsidP="00450AB2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10</w:t>
            </w:r>
            <w:r w:rsidR="00721E75" w:rsidRPr="00D356F2">
              <w:rPr>
                <w:rStyle w:val="Odwoanieprzypisudolnego"/>
                <w:b/>
                <w:sz w:val="22"/>
              </w:rPr>
              <w:footnoteReference w:id="1"/>
            </w:r>
            <w:r w:rsidRPr="00D356F2">
              <w:rPr>
                <w:b/>
                <w:sz w:val="22"/>
              </w:rPr>
              <w:t>/15/</w:t>
            </w:r>
            <w:r w:rsidR="00721E75" w:rsidRPr="00D356F2">
              <w:rPr>
                <w:rStyle w:val="Odwoanieprzypisudolnego"/>
                <w:b/>
                <w:sz w:val="22"/>
              </w:rPr>
              <w:footnoteReference w:id="2"/>
            </w:r>
            <w:r w:rsidRPr="00D356F2">
              <w:rPr>
                <w:b/>
                <w:sz w:val="22"/>
              </w:rPr>
              <w:t>30</w:t>
            </w:r>
            <w:r w:rsidR="00721E75" w:rsidRPr="00D356F2">
              <w:rPr>
                <w:rStyle w:val="Odwoanieprzypisudolnego"/>
                <w:b/>
                <w:sz w:val="22"/>
              </w:rPr>
              <w:footnoteReference w:id="3"/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03D9" w14:textId="77777777" w:rsidR="008050C4" w:rsidRPr="00D356F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FC87239" w14:textId="7BF2C166" w:rsidR="008050C4" w:rsidRPr="00D356F2" w:rsidRDefault="00450AB2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D356F2">
              <w:rPr>
                <w:sz w:val="22"/>
              </w:rPr>
              <w:t>20</w:t>
            </w:r>
          </w:p>
        </w:tc>
      </w:tr>
      <w:tr w:rsidR="008050C4" w:rsidRPr="00D356F2" w14:paraId="46137EA2" w14:textId="77777777" w:rsidTr="00D356F2">
        <w:trPr>
          <w:trHeight w:val="264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E5F3" w14:textId="1F5D8A9D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1</w:t>
            </w:r>
            <w:r w:rsidR="00A75258" w:rsidRPr="00D356F2">
              <w:rPr>
                <w:b/>
                <w:sz w:val="22"/>
              </w:rPr>
              <w:t>1. Forma zaliczenia przedmiotu:</w:t>
            </w:r>
            <w:r w:rsidR="00A75258" w:rsidRPr="00D356F2">
              <w:rPr>
                <w:sz w:val="22"/>
              </w:rPr>
              <w:t xml:space="preserve"> </w:t>
            </w:r>
            <w:r w:rsidR="00012442" w:rsidRPr="00D356F2">
              <w:rPr>
                <w:sz w:val="22"/>
              </w:rPr>
              <w:t>obrona pracy</w:t>
            </w:r>
          </w:p>
        </w:tc>
      </w:tr>
      <w:tr w:rsidR="008050C4" w:rsidRPr="00D356F2" w14:paraId="64E32F8A" w14:textId="77777777" w:rsidTr="00D356F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EDE125" w14:textId="77777777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356F2" w14:paraId="22C8EB9C" w14:textId="77777777" w:rsidTr="00D356F2">
        <w:trPr>
          <w:trHeight w:val="263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BEEF" w14:textId="77777777" w:rsidR="008050C4" w:rsidRPr="00D356F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356F2">
              <w:rPr>
                <w:sz w:val="22"/>
              </w:rPr>
              <w:t xml:space="preserve">Efekty uczenia się </w:t>
            </w:r>
          </w:p>
        </w:tc>
        <w:tc>
          <w:tcPr>
            <w:tcW w:w="3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E0D60D" w14:textId="77777777" w:rsidR="008050C4" w:rsidRPr="00D356F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356F2">
              <w:rPr>
                <w:sz w:val="22"/>
              </w:rPr>
              <w:t xml:space="preserve">Sposoby weryfikacji 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9B0C" w14:textId="77777777" w:rsidR="008050C4" w:rsidRPr="00D356F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356F2">
              <w:rPr>
                <w:sz w:val="22"/>
              </w:rPr>
              <w:t xml:space="preserve">Sposoby oceny*/zaliczenie </w:t>
            </w:r>
          </w:p>
        </w:tc>
      </w:tr>
      <w:tr w:rsidR="00012442" w:rsidRPr="00D356F2" w14:paraId="1880531B" w14:textId="77777777" w:rsidTr="00D356F2">
        <w:trPr>
          <w:trHeight w:val="334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0387C2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 xml:space="preserve">W zakresie wiedzy </w:t>
            </w:r>
          </w:p>
        </w:tc>
        <w:tc>
          <w:tcPr>
            <w:tcW w:w="3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C5C11" w14:textId="29A4980A" w:rsidR="00012442" w:rsidRPr="00D356F2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Opinia promotora</w:t>
            </w:r>
          </w:p>
          <w:p w14:paraId="1BAA4E93" w14:textId="77777777" w:rsidR="00012442" w:rsidRPr="00D356F2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Ocena recenzenta</w:t>
            </w:r>
          </w:p>
          <w:p w14:paraId="4F7BC6E9" w14:textId="7C24C1A4" w:rsidR="00012442" w:rsidRPr="00D356F2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Obrona pracy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8AC3A4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 *</w:t>
            </w:r>
          </w:p>
        </w:tc>
      </w:tr>
      <w:tr w:rsidR="00012442" w:rsidRPr="00D356F2" w14:paraId="1A981B61" w14:textId="77777777" w:rsidTr="00D356F2">
        <w:trPr>
          <w:trHeight w:val="33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0F533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 xml:space="preserve">W zakresie umiejętności </w:t>
            </w:r>
          </w:p>
        </w:tc>
        <w:tc>
          <w:tcPr>
            <w:tcW w:w="3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B5674" w14:textId="5404E5A4" w:rsidR="00012442" w:rsidRPr="00D356F2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C0916E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 *</w:t>
            </w:r>
          </w:p>
        </w:tc>
      </w:tr>
      <w:tr w:rsidR="00012442" w:rsidRPr="00D356F2" w14:paraId="790F544B" w14:textId="77777777" w:rsidTr="00D356F2">
        <w:trPr>
          <w:trHeight w:val="334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F19CD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 xml:space="preserve">W zakresie kompetencji </w:t>
            </w:r>
          </w:p>
        </w:tc>
        <w:tc>
          <w:tcPr>
            <w:tcW w:w="3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4D7" w14:textId="4F8CD411" w:rsidR="00012442" w:rsidRPr="00D356F2" w:rsidRDefault="00012442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599E01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 *</w:t>
            </w:r>
          </w:p>
        </w:tc>
      </w:tr>
    </w:tbl>
    <w:p w14:paraId="7701FE7E" w14:textId="77777777" w:rsidR="00701307" w:rsidRDefault="00701307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90798D1" w14:textId="77777777" w:rsidR="00701307" w:rsidRDefault="008050C4" w:rsidP="0070130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D356F2">
        <w:rPr>
          <w:sz w:val="22"/>
        </w:rPr>
        <w:t xml:space="preserve"> </w:t>
      </w:r>
      <w:r w:rsidR="00701307"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="00701307"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537E4186" w14:textId="77777777" w:rsidR="00701307" w:rsidRPr="00F11F8C" w:rsidRDefault="00701307" w:rsidP="0070130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2DA482FA" w14:textId="77777777" w:rsidR="00701307" w:rsidRPr="00F11F8C" w:rsidRDefault="00701307" w:rsidP="0070130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1B418DBC" w14:textId="77777777" w:rsidR="00701307" w:rsidRPr="00F11F8C" w:rsidRDefault="00701307" w:rsidP="0070130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3CE721C4" w14:textId="77777777" w:rsidR="00701307" w:rsidRPr="00F11F8C" w:rsidRDefault="00701307" w:rsidP="0070130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0A072616" w14:textId="77777777" w:rsidR="00701307" w:rsidRPr="00F11F8C" w:rsidRDefault="00701307" w:rsidP="0070130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4F4CD137" w14:textId="77777777" w:rsidR="00701307" w:rsidRPr="00F11F8C" w:rsidRDefault="00701307" w:rsidP="0070130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5102FFCC" w14:textId="77777777" w:rsidR="00701307" w:rsidRPr="001D4FA2" w:rsidRDefault="00701307" w:rsidP="00701307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2B816DF5" w14:textId="228D1266" w:rsidR="008050C4" w:rsidRPr="00D356F2" w:rsidRDefault="008050C4" w:rsidP="00701307">
      <w:pPr>
        <w:spacing w:after="306" w:line="259" w:lineRule="auto"/>
        <w:ind w:left="341" w:right="0" w:firstLine="0"/>
        <w:jc w:val="left"/>
        <w:rPr>
          <w:sz w:val="22"/>
        </w:rPr>
      </w:pPr>
      <w:r w:rsidRPr="00D356F2">
        <w:rPr>
          <w:sz w:val="22"/>
        </w:rPr>
        <w:t xml:space="preserve"> </w:t>
      </w:r>
    </w:p>
    <w:p w14:paraId="1F64219A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F69E35D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C445F7E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6105683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BD3D59B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BAAF088" w14:textId="77777777" w:rsidR="009F711E" w:rsidRDefault="009F711E" w:rsidP="009F711E">
      <w:pPr>
        <w:spacing w:before="120" w:after="120" w:line="259" w:lineRule="auto"/>
        <w:ind w:left="0" w:right="0" w:firstLine="0"/>
        <w:jc w:val="center"/>
        <w:rPr>
          <w:sz w:val="22"/>
          <w:szCs w:val="20"/>
        </w:rPr>
      </w:pPr>
      <w:r w:rsidRPr="008812BE">
        <w:rPr>
          <w:b/>
          <w:szCs w:val="20"/>
        </w:rPr>
        <w:t>Karta przedmiotu</w:t>
      </w:r>
      <w:r w:rsidRPr="008812BE">
        <w:rPr>
          <w:sz w:val="22"/>
          <w:szCs w:val="20"/>
        </w:rPr>
        <w:t xml:space="preserve"> </w:t>
      </w:r>
    </w:p>
    <w:p w14:paraId="6494406D" w14:textId="2C51DD7E" w:rsidR="009F711E" w:rsidRPr="008812BE" w:rsidRDefault="009F711E" w:rsidP="009F711E">
      <w:pPr>
        <w:spacing w:before="120" w:after="120" w:line="259" w:lineRule="auto"/>
        <w:ind w:left="0" w:right="0" w:firstLine="0"/>
        <w:jc w:val="center"/>
        <w:rPr>
          <w:sz w:val="22"/>
          <w:szCs w:val="20"/>
        </w:rPr>
      </w:pPr>
      <w:r w:rsidRPr="008812BE">
        <w:rPr>
          <w:b/>
          <w:szCs w:val="20"/>
        </w:rPr>
        <w:t xml:space="preserve">Cz. 2 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2383"/>
        <w:gridCol w:w="2885"/>
        <w:gridCol w:w="2552"/>
      </w:tblGrid>
      <w:tr w:rsidR="009F711E" w:rsidRPr="009F711E" w14:paraId="7571CC31" w14:textId="77777777" w:rsidTr="009F711E">
        <w:trPr>
          <w:trHeight w:val="262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78701D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9F711E" w:rsidRPr="009F711E" w14:paraId="5F2AAB32" w14:textId="77777777" w:rsidTr="009F711E">
        <w:trPr>
          <w:trHeight w:val="517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74D4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F711E">
              <w:rPr>
                <w:b/>
                <w:sz w:val="22"/>
              </w:rPr>
              <w:t>13. Jednostka realizująca przedmiot,</w:t>
            </w:r>
            <w:r w:rsidRPr="009F711E">
              <w:rPr>
                <w:sz w:val="22"/>
              </w:rPr>
              <w:t xml:space="preserve"> </w:t>
            </w:r>
            <w:r w:rsidRPr="009F711E">
              <w:rPr>
                <w:b/>
                <w:sz w:val="22"/>
              </w:rPr>
              <w:t xml:space="preserve">adres, e-mail: </w:t>
            </w:r>
          </w:p>
          <w:p w14:paraId="6495BAC3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Zgodnie z wyborem promotora</w:t>
            </w:r>
          </w:p>
        </w:tc>
      </w:tr>
      <w:tr w:rsidR="009F711E" w:rsidRPr="009F711E" w14:paraId="0503A4A5" w14:textId="77777777" w:rsidTr="009F711E">
        <w:trPr>
          <w:trHeight w:val="516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8DA3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F711E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47A44BFB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Zgodnie z wyborem promotora</w:t>
            </w:r>
          </w:p>
        </w:tc>
      </w:tr>
      <w:tr w:rsidR="009F711E" w:rsidRPr="009F711E" w14:paraId="033D6740" w14:textId="77777777" w:rsidTr="009F711E">
        <w:trPr>
          <w:trHeight w:val="260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0ADB" w14:textId="77777777" w:rsidR="009F711E" w:rsidRPr="009F711E" w:rsidRDefault="009F711E" w:rsidP="00B56F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9F711E">
              <w:rPr>
                <w:bCs/>
                <w:sz w:val="22"/>
              </w:rPr>
              <w:t>Osiągnięcie efektów uczenia się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 z zakresu studiów I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i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 II stopnia.</w:t>
            </w:r>
          </w:p>
        </w:tc>
      </w:tr>
      <w:tr w:rsidR="009F711E" w:rsidRPr="009F711E" w14:paraId="4FC19B8D" w14:textId="77777777" w:rsidTr="009F711E">
        <w:trPr>
          <w:trHeight w:val="262"/>
        </w:trPr>
        <w:tc>
          <w:tcPr>
            <w:tcW w:w="4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C71B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543D" w14:textId="77777777" w:rsidR="009F711E" w:rsidRPr="009F711E" w:rsidRDefault="009F711E" w:rsidP="00B56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 xml:space="preserve">Praca indywidualna, zgodnie z Zarządzeniem Rektora SUM </w:t>
            </w:r>
          </w:p>
        </w:tc>
      </w:tr>
      <w:tr w:rsidR="009F711E" w:rsidRPr="009F711E" w14:paraId="1D2B9ABF" w14:textId="77777777" w:rsidTr="009F711E">
        <w:trPr>
          <w:trHeight w:val="240"/>
        </w:trPr>
        <w:tc>
          <w:tcPr>
            <w:tcW w:w="4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3F92" w14:textId="77777777" w:rsidR="009F711E" w:rsidRPr="009F711E" w:rsidRDefault="009F711E" w:rsidP="00B56F69">
            <w:pPr>
              <w:spacing w:after="0" w:line="259" w:lineRule="auto"/>
              <w:ind w:left="0" w:right="-86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AB97" w14:textId="77777777" w:rsidR="009F711E" w:rsidRPr="009F711E" w:rsidRDefault="009F711E" w:rsidP="00B56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 xml:space="preserve"> Wskazuje promotor</w:t>
            </w:r>
          </w:p>
        </w:tc>
      </w:tr>
      <w:tr w:rsidR="009F711E" w:rsidRPr="009F711E" w14:paraId="2BFCAEEB" w14:textId="77777777" w:rsidTr="009F711E">
        <w:trPr>
          <w:trHeight w:val="264"/>
        </w:trPr>
        <w:tc>
          <w:tcPr>
            <w:tcW w:w="4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5187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6E1A" w14:textId="77777777" w:rsidR="009F711E" w:rsidRPr="009F711E" w:rsidRDefault="009F711E" w:rsidP="00B56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 xml:space="preserve"> Sale Wydziału Nauk o Zdrowiu, zgodnie z harmonogramem indywidualnym</w:t>
            </w:r>
          </w:p>
        </w:tc>
      </w:tr>
      <w:tr w:rsidR="009F711E" w:rsidRPr="009F711E" w14:paraId="5E922CCA" w14:textId="77777777" w:rsidTr="009F711E">
        <w:trPr>
          <w:trHeight w:val="266"/>
        </w:trPr>
        <w:tc>
          <w:tcPr>
            <w:tcW w:w="4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2E30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9F7D" w14:textId="77777777" w:rsidR="009F711E" w:rsidRPr="009F711E" w:rsidRDefault="009F711E" w:rsidP="00B56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 xml:space="preserve"> Informacje dostępne na tablicy ogłoszeń zakładu promotora</w:t>
            </w:r>
          </w:p>
        </w:tc>
      </w:tr>
      <w:tr w:rsidR="009F711E" w:rsidRPr="009F711E" w14:paraId="621B458A" w14:textId="77777777" w:rsidTr="009F711E">
        <w:trPr>
          <w:trHeight w:val="259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CD2BEF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>20. Efekty uczenia się</w:t>
            </w:r>
            <w:r w:rsidRPr="009F711E">
              <w:rPr>
                <w:sz w:val="22"/>
              </w:rPr>
              <w:t xml:space="preserve"> </w:t>
            </w:r>
          </w:p>
        </w:tc>
      </w:tr>
      <w:tr w:rsidR="009F711E" w:rsidRPr="009F711E" w14:paraId="1D802976" w14:textId="77777777" w:rsidTr="009F711E">
        <w:trPr>
          <w:trHeight w:val="1081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7B78B" w14:textId="77777777" w:rsidR="009F711E" w:rsidRPr="009F711E" w:rsidRDefault="009F711E" w:rsidP="00B56F69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F711E">
              <w:rPr>
                <w:sz w:val="22"/>
              </w:rPr>
              <w:t xml:space="preserve">Numer przedmiotowego </w:t>
            </w:r>
          </w:p>
          <w:p w14:paraId="1959255E" w14:textId="77777777" w:rsidR="009F711E" w:rsidRPr="009F711E" w:rsidRDefault="009F711E" w:rsidP="00B56F69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9F711E">
              <w:rPr>
                <w:sz w:val="22"/>
              </w:rPr>
              <w:t xml:space="preserve">efektu uczenia </w:t>
            </w:r>
          </w:p>
          <w:p w14:paraId="0BFB40C6" w14:textId="77777777" w:rsidR="009F711E" w:rsidRPr="009F711E" w:rsidRDefault="009F711E" w:rsidP="00B56F69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9F711E">
              <w:rPr>
                <w:sz w:val="22"/>
              </w:rPr>
              <w:t xml:space="preserve">się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09331" w14:textId="77777777" w:rsidR="009F711E" w:rsidRPr="009F711E" w:rsidRDefault="009F711E" w:rsidP="00B56F69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9F711E">
              <w:rPr>
                <w:sz w:val="22"/>
              </w:rPr>
              <w:t xml:space="preserve">Przedmiotowe efekty uczenia się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9F88" w14:textId="77777777" w:rsidR="009F711E" w:rsidRPr="009F711E" w:rsidRDefault="009F711E" w:rsidP="00B56F69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9F711E">
              <w:rPr>
                <w:sz w:val="22"/>
              </w:rPr>
              <w:t xml:space="preserve">Odniesienie do efektów uczenia się zawartych w </w:t>
            </w:r>
            <w:r w:rsidRPr="009F711E">
              <w:rPr>
                <w:i/>
                <w:sz w:val="22"/>
              </w:rPr>
              <w:t>(właściwe podkreślić)</w:t>
            </w:r>
            <w:r w:rsidRPr="009F711E">
              <w:rPr>
                <w:sz w:val="22"/>
              </w:rPr>
              <w:t xml:space="preserve">: </w:t>
            </w:r>
          </w:p>
          <w:p w14:paraId="3834115A" w14:textId="77777777" w:rsidR="009F711E" w:rsidRPr="009F711E" w:rsidRDefault="009F711E" w:rsidP="00B56F69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9F711E">
              <w:rPr>
                <w:sz w:val="22"/>
                <w:u w:val="single"/>
              </w:rPr>
              <w:t>standardach kształcenia</w:t>
            </w:r>
            <w:r w:rsidRPr="009F711E">
              <w:rPr>
                <w:sz w:val="22"/>
              </w:rPr>
              <w:t xml:space="preserve"> / zatwierdzonych przez</w:t>
            </w:r>
          </w:p>
          <w:p w14:paraId="408A8795" w14:textId="77777777" w:rsidR="009F711E" w:rsidRPr="009F711E" w:rsidRDefault="009F711E" w:rsidP="00B56F69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9F711E">
              <w:rPr>
                <w:sz w:val="22"/>
              </w:rPr>
              <w:t xml:space="preserve">Senat SUM  </w:t>
            </w:r>
          </w:p>
        </w:tc>
      </w:tr>
      <w:tr w:rsidR="009F711E" w:rsidRPr="009F711E" w14:paraId="4BE073C9" w14:textId="77777777" w:rsidTr="009F711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4E89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P_W01</w:t>
            </w:r>
            <w:r w:rsidRPr="009F711E">
              <w:rPr>
                <w:b/>
                <w:sz w:val="22"/>
              </w:rPr>
              <w:t xml:space="preserve">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8C039" w14:textId="77777777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2"/>
              </w:rPr>
            </w:pPr>
            <w:r w:rsidRPr="009F711E">
              <w:rPr>
                <w:sz w:val="22"/>
              </w:rPr>
              <w:t xml:space="preserve">Student zna 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kierunki, zakres i rodzaje badań naukowych w pielęgniarstwie i opiece położniczej;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3E78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 xml:space="preserve"> C.W1.</w:t>
            </w:r>
          </w:p>
        </w:tc>
      </w:tr>
      <w:tr w:rsidR="009F711E" w:rsidRPr="009F711E" w14:paraId="4EDFC80F" w14:textId="77777777" w:rsidTr="009F711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6B8F6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P_W02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B87D" w14:textId="77777777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2"/>
              </w:rPr>
            </w:pPr>
            <w:r w:rsidRPr="009F711E">
              <w:rPr>
                <w:sz w:val="22"/>
              </w:rPr>
              <w:t xml:space="preserve">Student rozumie 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reguły dobrych praktyk w badaniach naukowych;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8ED1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C.W2</w:t>
            </w:r>
          </w:p>
        </w:tc>
      </w:tr>
      <w:tr w:rsidR="009F711E" w:rsidRPr="009F711E" w14:paraId="3340E695" w14:textId="77777777" w:rsidTr="009F711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C302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P_W03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2295" w14:textId="77777777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2"/>
              </w:rPr>
            </w:pPr>
            <w:r w:rsidRPr="009F711E">
              <w:rPr>
                <w:sz w:val="22"/>
              </w:rPr>
              <w:t xml:space="preserve">Student zna 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metody i techniki badawcze stosowane w ramach prowadzonego badania naukowego;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758A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C.W3.</w:t>
            </w:r>
          </w:p>
        </w:tc>
      </w:tr>
      <w:tr w:rsidR="009F711E" w:rsidRPr="009F711E" w14:paraId="3446AAB1" w14:textId="77777777" w:rsidTr="009F711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A57D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P_W04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9190" w14:textId="77777777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2"/>
              </w:rPr>
            </w:pPr>
            <w:r w:rsidRPr="009F711E">
              <w:rPr>
                <w:sz w:val="22"/>
              </w:rPr>
              <w:t xml:space="preserve">Student rozumie 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zasady przygotowywania baz danych do analiz statystycznych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2365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C.W4.</w:t>
            </w:r>
          </w:p>
        </w:tc>
      </w:tr>
      <w:tr w:rsidR="009F711E" w:rsidRPr="009F711E" w14:paraId="27255330" w14:textId="77777777" w:rsidTr="009F711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0957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P_W05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1B8E" w14:textId="77777777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2"/>
              </w:rPr>
            </w:pP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Student zna narzędzia informatyczne, testy statystyczne i zasady opracowania wyników badań naukowych;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C0554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C.W5.</w:t>
            </w:r>
          </w:p>
        </w:tc>
      </w:tr>
      <w:tr w:rsidR="009F711E" w:rsidRPr="009F711E" w14:paraId="20BED104" w14:textId="77777777" w:rsidTr="009F711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3306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P_W06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35E2C" w14:textId="77777777" w:rsidR="009F711E" w:rsidRPr="009F711E" w:rsidRDefault="009F711E" w:rsidP="009F711E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9F711E">
              <w:rPr>
                <w:sz w:val="22"/>
              </w:rPr>
              <w:t xml:space="preserve">Student zna 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źródła naukowej informacji medycznej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9487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C.W6.</w:t>
            </w:r>
          </w:p>
        </w:tc>
      </w:tr>
      <w:tr w:rsidR="009F711E" w:rsidRPr="009F711E" w14:paraId="2AADF78A" w14:textId="77777777" w:rsidTr="009F711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555A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P_W07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41CC" w14:textId="77777777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2"/>
              </w:rPr>
            </w:pPr>
            <w:r w:rsidRPr="009F711E">
              <w:rPr>
                <w:sz w:val="22"/>
              </w:rPr>
              <w:t xml:space="preserve">Student zna 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sposoby wyszukiwania informacji naukowej w bazach danych.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22BA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C.W7.</w:t>
            </w:r>
          </w:p>
        </w:tc>
      </w:tr>
      <w:tr w:rsidR="009F711E" w:rsidRPr="009F711E" w14:paraId="7DCEE792" w14:textId="77777777" w:rsidTr="009F711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039E8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P_U01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543F" w14:textId="77777777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2"/>
              </w:rPr>
            </w:pPr>
            <w:r w:rsidRPr="009F711E">
              <w:rPr>
                <w:sz w:val="22"/>
              </w:rPr>
              <w:t xml:space="preserve">Student potrafi 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wskazywać kierunki i zakres badań naukowych w pielęgniarstwie i opiece położniczej;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BBFF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C.U1</w:t>
            </w:r>
          </w:p>
        </w:tc>
      </w:tr>
      <w:tr w:rsidR="009F711E" w:rsidRPr="009F711E" w14:paraId="44670200" w14:textId="77777777" w:rsidTr="009F711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6C640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P_U02</w:t>
            </w:r>
            <w:r w:rsidRPr="009F711E">
              <w:rPr>
                <w:b/>
                <w:sz w:val="22"/>
              </w:rPr>
              <w:t xml:space="preserve">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0429F" w14:textId="77777777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9F711E">
              <w:rPr>
                <w:sz w:val="22"/>
              </w:rPr>
              <w:t xml:space="preserve">Student potrafi 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zaplanować badanie naukowe, omówić</w:t>
            </w:r>
          </w:p>
          <w:p w14:paraId="3048782C" w14:textId="77777777" w:rsidR="009F711E" w:rsidRPr="009F711E" w:rsidRDefault="009F711E" w:rsidP="009F711E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jego cel i spodziewane wyniki;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027A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C.U2</w:t>
            </w:r>
          </w:p>
        </w:tc>
      </w:tr>
      <w:tr w:rsidR="009F711E" w:rsidRPr="009F711E" w14:paraId="18DBDEB8" w14:textId="77777777" w:rsidTr="009F711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8142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P_U03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C6CC" w14:textId="6B0A5E44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przeprowadzić badanie naukowe, zaprezentować i zinterpretować jego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wyniki oraz odnieść je do aktualnego stanu wiedzy;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6483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C.U3</w:t>
            </w:r>
          </w:p>
        </w:tc>
      </w:tr>
      <w:tr w:rsidR="009F711E" w:rsidRPr="009F711E" w14:paraId="192988C8" w14:textId="77777777" w:rsidTr="009F711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E640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P_U04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01EF" w14:textId="77777777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przygotowywać bazy danych do obliczeń statystycznych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221D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C.U4</w:t>
            </w:r>
          </w:p>
        </w:tc>
      </w:tr>
      <w:tr w:rsidR="009F711E" w:rsidRPr="009F711E" w14:paraId="6092275C" w14:textId="77777777" w:rsidTr="009F711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16C1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P_U05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C980" w14:textId="77777777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stosować testy parametryczne i nieparametryczne dla zmiennych zależnych i niezależnych;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EFBE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C.U5</w:t>
            </w:r>
          </w:p>
        </w:tc>
      </w:tr>
      <w:tr w:rsidR="009F711E" w:rsidRPr="009F711E" w14:paraId="3E4C4DEB" w14:textId="77777777" w:rsidTr="009F711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DE5E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P_U06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F681" w14:textId="78A1BF11" w:rsidR="009F711E" w:rsidRPr="009F711E" w:rsidRDefault="009F711E" w:rsidP="009F711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korzystać ze specjalistycznej literatury naukowej krajowej i zagranicznej,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naukowych baz danych oraz informacji i danych przekazywanych przez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międzynarodowe organizacje i stowarzyszenia położnicze;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88BC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C.U6</w:t>
            </w:r>
          </w:p>
        </w:tc>
      </w:tr>
      <w:tr w:rsidR="009F711E" w:rsidRPr="009F711E" w14:paraId="38C08D9B" w14:textId="77777777" w:rsidTr="009F711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FE00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lastRenderedPageBreak/>
              <w:t>P_U07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005E" w14:textId="77777777" w:rsidR="009F711E" w:rsidRPr="009F711E" w:rsidRDefault="009F711E" w:rsidP="00B56F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przygotowywać rekomendacje w zakresie opieki położniczej w oparciu o wyniki badań naukowych;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0319" w14:textId="77777777" w:rsidR="009F711E" w:rsidRPr="009F711E" w:rsidRDefault="009F711E" w:rsidP="00B56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C.U8</w:t>
            </w:r>
          </w:p>
        </w:tc>
      </w:tr>
      <w:tr w:rsidR="009F711E" w:rsidRPr="009F711E" w14:paraId="5A816870" w14:textId="77777777" w:rsidTr="009F711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6F56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P_K01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2F8E" w14:textId="77777777" w:rsidR="009F711E" w:rsidRPr="009F711E" w:rsidRDefault="009F711E" w:rsidP="00B56F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IDFont+F2"/>
                <w:color w:val="auto"/>
                <w:sz w:val="22"/>
                <w:lang w:eastAsia="en-US"/>
              </w:rPr>
            </w:pPr>
            <w:r w:rsidRPr="009F711E">
              <w:rPr>
                <w:rFonts w:eastAsia="CIDFont+F2"/>
                <w:color w:val="auto"/>
                <w:sz w:val="22"/>
                <w:lang w:eastAsia="en-US"/>
              </w:rPr>
              <w:t>Student jest gotów do okazywania dbałości o prestiż związany z wykonywaniem zawodu położnej;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10FB" w14:textId="77777777" w:rsidR="009F711E" w:rsidRPr="009F711E" w:rsidRDefault="009F711E" w:rsidP="00B56F69">
            <w:pPr>
              <w:tabs>
                <w:tab w:val="center" w:pos="1123"/>
              </w:tabs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pkt. 1.3. ogólnych efektów uczenia się</w:t>
            </w:r>
          </w:p>
        </w:tc>
      </w:tr>
      <w:tr w:rsidR="009F711E" w:rsidRPr="009F711E" w14:paraId="0AB63B60" w14:textId="77777777" w:rsidTr="009F711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08940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 _ K02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19B2" w14:textId="77777777" w:rsidR="009F711E" w:rsidRPr="009F711E" w:rsidRDefault="009F711E" w:rsidP="00B56F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IDFont+F2"/>
                <w:color w:val="auto"/>
                <w:sz w:val="22"/>
                <w:lang w:eastAsia="en-US"/>
              </w:rPr>
            </w:pPr>
            <w:r w:rsidRPr="009F711E">
              <w:rPr>
                <w:rFonts w:eastAsia="CIDFont+F2"/>
                <w:color w:val="auto"/>
                <w:sz w:val="22"/>
                <w:lang w:eastAsia="en-US"/>
              </w:rPr>
              <w:t>Student jest gotów do krytycznej oceny działań́ własnych i współpracowników przy zachowaniu szacunku dla różnic światopoglądowych i kulturowych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730B" w14:textId="77777777" w:rsidR="009F711E" w:rsidRPr="009F711E" w:rsidRDefault="009F711E" w:rsidP="00B56F69">
            <w:pPr>
              <w:tabs>
                <w:tab w:val="center" w:pos="1123"/>
              </w:tabs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>pkt. 1.3. ogólnych efektów uczenia się</w:t>
            </w:r>
          </w:p>
        </w:tc>
      </w:tr>
      <w:tr w:rsidR="009F711E" w:rsidRPr="009F711E" w14:paraId="64D9DEC1" w14:textId="77777777" w:rsidTr="009F711E">
        <w:trPr>
          <w:trHeight w:val="298"/>
        </w:trPr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108534" w14:textId="77777777" w:rsidR="009F711E" w:rsidRPr="009F711E" w:rsidRDefault="009F711E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D2DFA0" w14:textId="77777777" w:rsidR="009F711E" w:rsidRPr="009F711E" w:rsidRDefault="009F711E" w:rsidP="00B56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 xml:space="preserve">Liczba godzin </w:t>
            </w:r>
          </w:p>
        </w:tc>
      </w:tr>
      <w:tr w:rsidR="009F711E" w:rsidRPr="009F711E" w14:paraId="053B6568" w14:textId="77777777" w:rsidTr="009F711E">
        <w:trPr>
          <w:trHeight w:val="264"/>
        </w:trPr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8608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 xml:space="preserve">21.1. Seminaria 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944E" w14:textId="77777777" w:rsidR="009F711E" w:rsidRPr="009F711E" w:rsidRDefault="009F711E" w:rsidP="00B56F6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9F711E" w:rsidRPr="009F711E" w14:paraId="5D1808F9" w14:textId="77777777" w:rsidTr="009F711E">
        <w:trPr>
          <w:trHeight w:val="262"/>
        </w:trPr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FDED" w14:textId="77777777" w:rsidR="009F711E" w:rsidRPr="009F711E" w:rsidRDefault="009F711E" w:rsidP="009F711E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eastAsia="CIDFont+F2"/>
                <w:color w:val="auto"/>
                <w:sz w:val="22"/>
                <w:lang w:eastAsia="en-US"/>
              </w:rPr>
            </w:pPr>
            <w:r w:rsidRPr="009F711E">
              <w:rPr>
                <w:rFonts w:eastAsia="CIDFont+F2"/>
                <w:color w:val="auto"/>
                <w:sz w:val="22"/>
                <w:lang w:eastAsia="en-US"/>
              </w:rPr>
              <w:t>Zasady opracowywania zebranych materiałów - prezentacja informacji naukowej.</w:t>
            </w:r>
          </w:p>
          <w:p w14:paraId="77F3614F" w14:textId="77777777" w:rsidR="009F711E" w:rsidRPr="009F711E" w:rsidRDefault="009F711E" w:rsidP="009F711E">
            <w:pPr>
              <w:spacing w:line="259" w:lineRule="auto"/>
              <w:ind w:left="0" w:right="0" w:firstLine="0"/>
              <w:rPr>
                <w:sz w:val="22"/>
              </w:rPr>
            </w:pPr>
            <w:r w:rsidRPr="009F711E">
              <w:rPr>
                <w:rFonts w:eastAsia="CIDFont+F2"/>
                <w:color w:val="auto"/>
                <w:sz w:val="22"/>
                <w:lang w:eastAsia="en-US"/>
              </w:rPr>
              <w:t>Zasady interpretacji zebranych materiałów – porównywanie wyników badań. Obrona pracy.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0956" w14:textId="77777777" w:rsidR="009F711E" w:rsidRPr="009F711E" w:rsidRDefault="009F711E" w:rsidP="00B56F69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9F711E">
              <w:rPr>
                <w:bCs/>
                <w:sz w:val="22"/>
              </w:rPr>
              <w:t>20</w:t>
            </w:r>
          </w:p>
        </w:tc>
      </w:tr>
      <w:tr w:rsidR="009F711E" w:rsidRPr="009F711E" w14:paraId="3F30BE4E" w14:textId="77777777" w:rsidTr="009F711E">
        <w:trPr>
          <w:trHeight w:val="260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E1D2566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 xml:space="preserve">22. Literatura </w:t>
            </w:r>
          </w:p>
        </w:tc>
      </w:tr>
      <w:tr w:rsidR="009F711E" w:rsidRPr="009F711E" w14:paraId="0A9DF1B2" w14:textId="77777777" w:rsidTr="009F711E">
        <w:trPr>
          <w:trHeight w:val="519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180BD" w14:textId="77777777" w:rsidR="009F711E" w:rsidRPr="009F711E" w:rsidRDefault="009F711E" w:rsidP="009F711E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r w:rsidRPr="009F711E">
              <w:rPr>
                <w:sz w:val="22"/>
              </w:rPr>
              <w:t xml:space="preserve">A. Jonkisz, L. </w:t>
            </w:r>
            <w:proofErr w:type="spellStart"/>
            <w:r w:rsidRPr="009F711E">
              <w:rPr>
                <w:sz w:val="22"/>
              </w:rPr>
              <w:t>Niebrój</w:t>
            </w:r>
            <w:proofErr w:type="spellEnd"/>
            <w:r w:rsidRPr="009F711E">
              <w:rPr>
                <w:sz w:val="22"/>
              </w:rPr>
              <w:t xml:space="preserve"> (red.): Metodologiczne podstawy badań naukowych w medycynie. Katowice 2010.</w:t>
            </w:r>
          </w:p>
          <w:p w14:paraId="70B4BAA8" w14:textId="77777777" w:rsidR="009F711E" w:rsidRPr="009F711E" w:rsidRDefault="009F711E" w:rsidP="009F711E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r w:rsidRPr="009F711E">
              <w:rPr>
                <w:sz w:val="22"/>
              </w:rPr>
              <w:t>H. Lenartowicz, M. J. Kózka: Metodologia badań w pielęgniarstwie. Podręcznik dla studiów medycznych. Warszawa 2010.</w:t>
            </w:r>
          </w:p>
          <w:p w14:paraId="6069C3BA" w14:textId="77777777" w:rsidR="009F711E" w:rsidRPr="009F711E" w:rsidRDefault="009F711E" w:rsidP="009F711E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r w:rsidRPr="009F711E">
              <w:rPr>
                <w:sz w:val="22"/>
              </w:rPr>
              <w:t xml:space="preserve">B. </w:t>
            </w:r>
            <w:proofErr w:type="spellStart"/>
            <w:r w:rsidRPr="009F711E">
              <w:rPr>
                <w:sz w:val="22"/>
              </w:rPr>
              <w:t>Stoczewska</w:t>
            </w:r>
            <w:proofErr w:type="spellEnd"/>
            <w:r w:rsidRPr="009F711E">
              <w:rPr>
                <w:sz w:val="22"/>
              </w:rPr>
              <w:t>: Jak pisać pracę licencjacką lub magisterską: poradnik dla studentów. Kraków 2009.</w:t>
            </w:r>
          </w:p>
          <w:p w14:paraId="5486AAC8" w14:textId="77777777" w:rsidR="009F711E" w:rsidRPr="009F711E" w:rsidRDefault="009F711E" w:rsidP="009F711E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proofErr w:type="spellStart"/>
            <w:r w:rsidRPr="009F711E">
              <w:rPr>
                <w:sz w:val="22"/>
              </w:rPr>
              <w:t>W.Jędrychowski</w:t>
            </w:r>
            <w:proofErr w:type="spellEnd"/>
            <w:r w:rsidRPr="009F711E">
              <w:rPr>
                <w:sz w:val="22"/>
              </w:rPr>
              <w:t>: Zasady planowania i prowadzenia badań naukowych w medycynie, Kraków, 2004</w:t>
            </w:r>
          </w:p>
          <w:p w14:paraId="4D52B04B" w14:textId="77777777" w:rsidR="009F711E" w:rsidRPr="009F711E" w:rsidRDefault="009F711E" w:rsidP="009F711E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Yin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 R, K. Studium przypadku w badaniach naukowych. Projektowanie i metody. Wydawnictwo Uniwersytetu Jagiellońskiego, Kraków 2014</w:t>
            </w:r>
          </w:p>
          <w:p w14:paraId="78420DD3" w14:textId="77777777" w:rsidR="009F711E" w:rsidRPr="009F711E" w:rsidRDefault="009F711E" w:rsidP="009F711E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r w:rsidRPr="009F711E">
              <w:rPr>
                <w:sz w:val="22"/>
              </w:rPr>
              <w:t>Regulamin pisania pracy dyplomowej magisterskiej</w:t>
            </w:r>
          </w:p>
          <w:p w14:paraId="19195D07" w14:textId="77777777" w:rsidR="009F711E" w:rsidRPr="009F711E" w:rsidRDefault="009F711E" w:rsidP="009F711E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Dostępy do baz danych: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BazTech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, BPP,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Coal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Abstracts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, Petroleum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Abstracts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,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Chemical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Abstracts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, Web of Science,</w:t>
            </w:r>
          </w:p>
          <w:p w14:paraId="7D12954E" w14:textId="77777777" w:rsidR="009F711E" w:rsidRPr="009F711E" w:rsidRDefault="009F711E" w:rsidP="00B56F69">
            <w:pPr>
              <w:pStyle w:val="Akapitzlist"/>
              <w:spacing w:after="0" w:line="259" w:lineRule="auto"/>
              <w:ind w:left="173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Scopus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, Wirtualna Biblioteka Nauki</w:t>
            </w:r>
          </w:p>
          <w:p w14:paraId="4CF6C147" w14:textId="77777777" w:rsidR="009F711E" w:rsidRPr="009F711E" w:rsidRDefault="009F711E" w:rsidP="009F711E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Dostępy do e-książek i e-czasopism: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Knowel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 (kolekcje: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Mining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 Engineering a.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Extractive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Metallurgy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,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Oil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 a.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Gas</w:t>
            </w:r>
            <w:proofErr w:type="spellEnd"/>
          </w:p>
          <w:p w14:paraId="3161A905" w14:textId="77777777" w:rsidR="009F711E" w:rsidRPr="009F711E" w:rsidRDefault="009F711E" w:rsidP="00B56F69">
            <w:pPr>
              <w:pStyle w:val="Akapitzlist"/>
              <w:spacing w:after="0" w:line="259" w:lineRule="auto"/>
              <w:ind w:left="173" w:right="0" w:firstLine="0"/>
              <w:jc w:val="left"/>
              <w:rPr>
                <w:sz w:val="22"/>
              </w:rPr>
            </w:pPr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Engineering, </w:t>
            </w:r>
            <w:proofErr w:type="spellStart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>Civil</w:t>
            </w:r>
            <w:proofErr w:type="spellEnd"/>
            <w:r w:rsidRPr="009F711E">
              <w:rPr>
                <w:rFonts w:eastAsiaTheme="minorHAnsi"/>
                <w:color w:val="auto"/>
                <w:sz w:val="22"/>
                <w:lang w:eastAsia="en-US"/>
              </w:rPr>
              <w:t xml:space="preserve"> Engineering), Science Direct, lista A-Z</w:t>
            </w:r>
          </w:p>
        </w:tc>
      </w:tr>
      <w:tr w:rsidR="009F711E" w:rsidRPr="009F711E" w14:paraId="12A5F7B3" w14:textId="77777777" w:rsidTr="009F711E">
        <w:trPr>
          <w:trHeight w:val="262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84DFB13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b/>
                <w:sz w:val="22"/>
              </w:rPr>
              <w:t xml:space="preserve">23. Kryteria oceny – szczegóły </w:t>
            </w:r>
          </w:p>
        </w:tc>
      </w:tr>
      <w:tr w:rsidR="009F711E" w:rsidRPr="009F711E" w14:paraId="146B8BEF" w14:textId="77777777" w:rsidTr="009F711E">
        <w:trPr>
          <w:trHeight w:val="769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41CF" w14:textId="77777777" w:rsidR="009F711E" w:rsidRPr="009F711E" w:rsidRDefault="009F711E" w:rsidP="00B56F69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 xml:space="preserve">Zgodnie z zaleceniami organów kontrolujących. </w:t>
            </w:r>
          </w:p>
          <w:p w14:paraId="4B154304" w14:textId="77777777" w:rsidR="009F711E" w:rsidRPr="009F711E" w:rsidRDefault="009F711E" w:rsidP="00B56F69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 xml:space="preserve">Zaliczenie przedmiotu - student osiągnął zakładane efekty uczenia się. </w:t>
            </w:r>
          </w:p>
          <w:p w14:paraId="09B8DFBA" w14:textId="77777777" w:rsidR="009F711E" w:rsidRPr="009F711E" w:rsidRDefault="009F711E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711E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7CE40D7D" w14:textId="77777777" w:rsidR="009F711E" w:rsidRDefault="009F711E" w:rsidP="009F711E">
      <w:pPr>
        <w:spacing w:after="0" w:line="259" w:lineRule="auto"/>
        <w:ind w:left="0" w:right="0" w:firstLine="0"/>
        <w:jc w:val="left"/>
      </w:pPr>
    </w:p>
    <w:p w14:paraId="28B65202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D356F2" w:rsidSect="00701307">
      <w:footerReference w:type="even" r:id="rId8"/>
      <w:footerReference w:type="default" r:id="rId9"/>
      <w:footerReference w:type="first" r:id="rId10"/>
      <w:pgSz w:w="11906" w:h="16838"/>
      <w:pgMar w:top="238" w:right="991" w:bottom="142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D1663" w14:textId="77777777" w:rsidR="0098769F" w:rsidRDefault="0098769F">
      <w:pPr>
        <w:spacing w:after="0" w:line="240" w:lineRule="auto"/>
      </w:pPr>
      <w:r>
        <w:separator/>
      </w:r>
    </w:p>
  </w:endnote>
  <w:endnote w:type="continuationSeparator" w:id="0">
    <w:p w14:paraId="32EE5E21" w14:textId="77777777" w:rsidR="0098769F" w:rsidRDefault="0098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D368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090E83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3F813" w14:textId="052B9A5F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F19E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BB0D58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F927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C927E5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9685E" w14:textId="77777777" w:rsidR="0098769F" w:rsidRDefault="0098769F">
      <w:pPr>
        <w:spacing w:after="0" w:line="240" w:lineRule="auto"/>
      </w:pPr>
      <w:r>
        <w:separator/>
      </w:r>
    </w:p>
  </w:footnote>
  <w:footnote w:type="continuationSeparator" w:id="0">
    <w:p w14:paraId="31E0261B" w14:textId="77777777" w:rsidR="0098769F" w:rsidRDefault="0098769F">
      <w:pPr>
        <w:spacing w:after="0" w:line="240" w:lineRule="auto"/>
      </w:pPr>
      <w:r>
        <w:continuationSeparator/>
      </w:r>
    </w:p>
  </w:footnote>
  <w:footnote w:id="1">
    <w:p w14:paraId="30DDA3D5" w14:textId="7BBAB597" w:rsidR="00721E75" w:rsidRDefault="00721E75">
      <w:pPr>
        <w:pStyle w:val="Tekstprzypisudolnego"/>
      </w:pPr>
      <w:r>
        <w:rPr>
          <w:rStyle w:val="Odwoanieprzypisudolnego"/>
        </w:rPr>
        <w:footnoteRef/>
      </w:r>
      <w:r>
        <w:t xml:space="preserve"> Dla pracy poglądowej</w:t>
      </w:r>
    </w:p>
  </w:footnote>
  <w:footnote w:id="2">
    <w:p w14:paraId="045CBAC3" w14:textId="468EA43A" w:rsidR="00721E75" w:rsidRDefault="00721E75">
      <w:pPr>
        <w:pStyle w:val="Tekstprzypisudolnego"/>
      </w:pPr>
      <w:r>
        <w:rPr>
          <w:rStyle w:val="Odwoanieprzypisudolnego"/>
        </w:rPr>
        <w:footnoteRef/>
      </w:r>
      <w:r>
        <w:t xml:space="preserve"> Dla pracy badawczej</w:t>
      </w:r>
    </w:p>
  </w:footnote>
  <w:footnote w:id="3">
    <w:p w14:paraId="528A7938" w14:textId="4F4F5348" w:rsidR="00721E75" w:rsidRDefault="00721E75">
      <w:pPr>
        <w:pStyle w:val="Tekstprzypisudolnego"/>
      </w:pPr>
      <w:r>
        <w:rPr>
          <w:rStyle w:val="Odwoanieprzypisudolnego"/>
        </w:rPr>
        <w:footnoteRef/>
      </w:r>
      <w:r>
        <w:t xml:space="preserve"> Dla pracy doświadczal</w:t>
      </w:r>
      <w:r w:rsidR="00EE0C43">
        <w:t>ne</w:t>
      </w:r>
      <w:r>
        <w:t>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87F7E"/>
    <w:multiLevelType w:val="hybridMultilevel"/>
    <w:tmpl w:val="B5EEE944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8000305"/>
    <w:multiLevelType w:val="hybridMultilevel"/>
    <w:tmpl w:val="A36E50A0"/>
    <w:lvl w:ilvl="0" w:tplc="2AD20302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3" w:hanging="360"/>
      </w:pPr>
    </w:lvl>
    <w:lvl w:ilvl="2" w:tplc="0415001B" w:tentative="1">
      <w:start w:val="1"/>
      <w:numFmt w:val="lowerRoman"/>
      <w:lvlText w:val="%3."/>
      <w:lvlJc w:val="right"/>
      <w:pPr>
        <w:ind w:left="1903" w:hanging="180"/>
      </w:pPr>
    </w:lvl>
    <w:lvl w:ilvl="3" w:tplc="0415000F" w:tentative="1">
      <w:start w:val="1"/>
      <w:numFmt w:val="decimal"/>
      <w:lvlText w:val="%4."/>
      <w:lvlJc w:val="left"/>
      <w:pPr>
        <w:ind w:left="2623" w:hanging="360"/>
      </w:pPr>
    </w:lvl>
    <w:lvl w:ilvl="4" w:tplc="04150019" w:tentative="1">
      <w:start w:val="1"/>
      <w:numFmt w:val="lowerLetter"/>
      <w:lvlText w:val="%5."/>
      <w:lvlJc w:val="left"/>
      <w:pPr>
        <w:ind w:left="3343" w:hanging="360"/>
      </w:pPr>
    </w:lvl>
    <w:lvl w:ilvl="5" w:tplc="0415001B" w:tentative="1">
      <w:start w:val="1"/>
      <w:numFmt w:val="lowerRoman"/>
      <w:lvlText w:val="%6."/>
      <w:lvlJc w:val="right"/>
      <w:pPr>
        <w:ind w:left="4063" w:hanging="180"/>
      </w:pPr>
    </w:lvl>
    <w:lvl w:ilvl="6" w:tplc="0415000F" w:tentative="1">
      <w:start w:val="1"/>
      <w:numFmt w:val="decimal"/>
      <w:lvlText w:val="%7."/>
      <w:lvlJc w:val="left"/>
      <w:pPr>
        <w:ind w:left="4783" w:hanging="360"/>
      </w:pPr>
    </w:lvl>
    <w:lvl w:ilvl="7" w:tplc="04150019" w:tentative="1">
      <w:start w:val="1"/>
      <w:numFmt w:val="lowerLetter"/>
      <w:lvlText w:val="%8."/>
      <w:lvlJc w:val="left"/>
      <w:pPr>
        <w:ind w:left="5503" w:hanging="360"/>
      </w:pPr>
    </w:lvl>
    <w:lvl w:ilvl="8" w:tplc="0415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1"/>
  </w:num>
  <w:num w:numId="13">
    <w:abstractNumId w:val="17"/>
  </w:num>
  <w:num w:numId="14">
    <w:abstractNumId w:val="21"/>
  </w:num>
  <w:num w:numId="15">
    <w:abstractNumId w:val="12"/>
  </w:num>
  <w:num w:numId="16">
    <w:abstractNumId w:val="13"/>
  </w:num>
  <w:num w:numId="17">
    <w:abstractNumId w:val="22"/>
  </w:num>
  <w:num w:numId="18">
    <w:abstractNumId w:val="2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2442"/>
    <w:rsid w:val="00052014"/>
    <w:rsid w:val="001032AA"/>
    <w:rsid w:val="00110809"/>
    <w:rsid w:val="001A76A8"/>
    <w:rsid w:val="00212F92"/>
    <w:rsid w:val="002A19A6"/>
    <w:rsid w:val="002E5C27"/>
    <w:rsid w:val="00306823"/>
    <w:rsid w:val="00321196"/>
    <w:rsid w:val="0034698C"/>
    <w:rsid w:val="003F11C2"/>
    <w:rsid w:val="003F44B1"/>
    <w:rsid w:val="00450AB2"/>
    <w:rsid w:val="004A46A1"/>
    <w:rsid w:val="00526B0E"/>
    <w:rsid w:val="005717A5"/>
    <w:rsid w:val="005C5A14"/>
    <w:rsid w:val="00640262"/>
    <w:rsid w:val="00701307"/>
    <w:rsid w:val="00721E75"/>
    <w:rsid w:val="008050C4"/>
    <w:rsid w:val="0084552E"/>
    <w:rsid w:val="008812BE"/>
    <w:rsid w:val="009042E3"/>
    <w:rsid w:val="00985657"/>
    <w:rsid w:val="0098769F"/>
    <w:rsid w:val="009F711E"/>
    <w:rsid w:val="00A543BD"/>
    <w:rsid w:val="00A67618"/>
    <w:rsid w:val="00A75258"/>
    <w:rsid w:val="00B26E0C"/>
    <w:rsid w:val="00C64A8E"/>
    <w:rsid w:val="00C741FC"/>
    <w:rsid w:val="00C833F2"/>
    <w:rsid w:val="00CB04E0"/>
    <w:rsid w:val="00CC5EAF"/>
    <w:rsid w:val="00CE0E8C"/>
    <w:rsid w:val="00D1371D"/>
    <w:rsid w:val="00D160A0"/>
    <w:rsid w:val="00D165CC"/>
    <w:rsid w:val="00D356F2"/>
    <w:rsid w:val="00D42A74"/>
    <w:rsid w:val="00D53D62"/>
    <w:rsid w:val="00DA161D"/>
    <w:rsid w:val="00DF6464"/>
    <w:rsid w:val="00E4708E"/>
    <w:rsid w:val="00E95559"/>
    <w:rsid w:val="00EE0C43"/>
    <w:rsid w:val="00EF19E9"/>
    <w:rsid w:val="00F72354"/>
    <w:rsid w:val="00FE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CE6E2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3F11C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161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16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5CC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212F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E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E7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E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ABB38-3085-49D6-BEF7-11542285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913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2024-02-15T09:08:00Z</cp:lastPrinted>
  <dcterms:created xsi:type="dcterms:W3CDTF">2024-02-28T12:27:00Z</dcterms:created>
  <dcterms:modified xsi:type="dcterms:W3CDTF">2024-10-16T09:08:00Z</dcterms:modified>
</cp:coreProperties>
</file>